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4"/>
          <w:rFonts w:ascii="Arial" w:hAnsi="Arial" w:cs="Arial"/>
          <w:sz w:val="24"/>
          <w:szCs w:val="24"/>
          <w:shd w:val="clear" w:color="auto" w:fill="FFFFFF"/>
        </w:rPr>
      </w:pPr>
      <w:bookmarkStart w:id="0" w:name="_Hlk124784961"/>
    </w:p>
    <w:bookmarkEnd w:id="0"/>
    <w:p>
      <w:pPr>
        <w:pStyle w:val="11"/>
        <w:shd w:val="clear" w:color="auto" w:fill="FFFFFF"/>
        <w:spacing w:before="0" w:beforeAutospacing="0" w:after="0" w:afterAutospacing="0"/>
        <w:jc w:val="center"/>
        <w:textAlignment w:val="baseline"/>
        <w:rPr>
          <w:rStyle w:val="4"/>
          <w:rFonts w:ascii="Arial" w:hAnsi="Arial" w:eastAsia="Tahoma" w:cs="Arial"/>
        </w:rPr>
      </w:pPr>
      <w:r>
        <w:rPr>
          <w:rStyle w:val="4"/>
          <w:rFonts w:ascii="Arial" w:hAnsi="Arial" w:eastAsia="Tahoma" w:cs="Arial"/>
        </w:rPr>
        <w:t>TERMO DE REFERÊNCIA</w:t>
      </w:r>
    </w:p>
    <w:p>
      <w:pPr>
        <w:pStyle w:val="11"/>
        <w:shd w:val="clear" w:color="auto" w:fill="FFFFFF"/>
        <w:spacing w:before="0" w:beforeAutospacing="0" w:after="0" w:afterAutospacing="0"/>
        <w:jc w:val="center"/>
        <w:textAlignment w:val="baseline"/>
        <w:rPr>
          <w:rStyle w:val="4"/>
          <w:rFonts w:hint="default" w:ascii="Arial" w:hAnsi="Arial" w:eastAsia="Tahoma" w:cs="Arial"/>
          <w:lang w:val="pt-BR"/>
        </w:rPr>
      </w:pPr>
      <w:r>
        <w:rPr>
          <w:rStyle w:val="4"/>
          <w:rFonts w:hint="default" w:ascii="Arial" w:hAnsi="Arial" w:eastAsia="Tahoma" w:cs="Arial"/>
          <w:lang w:val="pt-BR"/>
        </w:rPr>
        <w:t>LEI FEDERAL N° 8.666/1993</w:t>
      </w:r>
    </w:p>
    <w:p>
      <w:pPr>
        <w:pStyle w:val="10"/>
        <w:keepNext w:val="0"/>
        <w:keepLines w:val="0"/>
        <w:pageBreakBefore w:val="0"/>
        <w:widowControl w:val="0"/>
        <w:numPr>
          <w:ilvl w:val="0"/>
          <w:numId w:val="0"/>
        </w:numPr>
        <w:kinsoku/>
        <w:wordWrap/>
        <w:overflowPunct/>
        <w:topLinePunct w:val="0"/>
        <w:autoSpaceDE w:val="0"/>
        <w:autoSpaceDN w:val="0"/>
        <w:bidi w:val="0"/>
        <w:adjustRightInd/>
        <w:spacing w:before="0"/>
        <w:ind w:leftChars="0"/>
        <w:jc w:val="both"/>
        <w:textAlignment w:val="auto"/>
        <w:rPr>
          <w:rFonts w:ascii="Arial" w:hAnsi="Arial" w:eastAsia="Times New Roman" w:cs="Arial"/>
          <w:b/>
          <w:bCs/>
          <w:color w:val="auto"/>
          <w:sz w:val="24"/>
          <w:szCs w:val="24"/>
          <w:lang w:val="pt-BR" w:eastAsia="pt-BR"/>
        </w:rPr>
      </w:pPr>
      <w:r>
        <w:rPr>
          <w:rFonts w:ascii="Arial" w:hAnsi="Arial" w:cs="Arial"/>
        </w:rPr>
        <w:br w:type="textWrapping"/>
      </w:r>
      <w:r>
        <w:rPr>
          <w:rFonts w:hint="default" w:ascii="Arial" w:hAnsi="Arial" w:cs="Arial"/>
          <w:b/>
          <w:bCs/>
          <w:lang w:val="pt-BR"/>
        </w:rPr>
        <w:t xml:space="preserve">1 - </w:t>
      </w:r>
      <w:r>
        <w:rPr>
          <w:rFonts w:ascii="Arial" w:hAnsi="Arial" w:eastAsia="Times New Roman" w:cs="Arial"/>
          <w:b/>
          <w:bCs/>
          <w:color w:val="auto"/>
          <w:sz w:val="24"/>
          <w:szCs w:val="24"/>
          <w:lang w:val="pt-BR" w:eastAsia="pt-BR"/>
        </w:rPr>
        <w:t>Objeto</w:t>
      </w:r>
      <w:r>
        <w:rPr>
          <w:rFonts w:hint="default" w:ascii="Arial" w:hAnsi="Arial" w:eastAsia="Times New Roman" w:cs="Arial"/>
          <w:b/>
          <w:bCs/>
          <w:color w:val="auto"/>
          <w:sz w:val="24"/>
          <w:szCs w:val="24"/>
          <w:lang w:val="en-US" w:eastAsia="pt-BR"/>
        </w:rPr>
        <w:t>:</w:t>
      </w:r>
    </w:p>
    <w:p>
      <w:pPr>
        <w:pStyle w:val="10"/>
        <w:keepNext w:val="0"/>
        <w:keepLines w:val="0"/>
        <w:pageBreakBefore w:val="0"/>
        <w:widowControl w:val="0"/>
        <w:numPr>
          <w:ilvl w:val="0"/>
          <w:numId w:val="0"/>
        </w:numPr>
        <w:kinsoku/>
        <w:wordWrap/>
        <w:overflowPunct/>
        <w:topLinePunct w:val="0"/>
        <w:autoSpaceDE w:val="0"/>
        <w:autoSpaceDN w:val="0"/>
        <w:bidi w:val="0"/>
        <w:adjustRightInd/>
        <w:spacing w:before="0"/>
        <w:ind w:leftChars="0"/>
        <w:jc w:val="both"/>
        <w:textAlignment w:val="auto"/>
        <w:rPr>
          <w:rFonts w:hint="default" w:ascii="Arial" w:hAnsi="Arial" w:cs="Arial"/>
          <w:i/>
          <w:iCs/>
          <w:color w:val="000000"/>
          <w:sz w:val="18"/>
          <w:szCs w:val="18"/>
          <w:lang w:val="pt-BR"/>
        </w:rPr>
      </w:pPr>
      <w:r>
        <w:rPr>
          <w:rFonts w:hint="default" w:ascii="Arial" w:hAnsi="Arial" w:cs="Arial"/>
          <w:i/>
          <w:iCs/>
          <w:color w:val="000000"/>
          <w:sz w:val="18"/>
          <w:szCs w:val="18"/>
          <w:lang w:val="pt-BR"/>
        </w:rPr>
        <w:t>P</w:t>
      </w:r>
      <w:r>
        <w:rPr>
          <w:rFonts w:ascii="Arial" w:hAnsi="Arial" w:cs="Arial"/>
          <w:i/>
          <w:iCs/>
          <w:color w:val="000000"/>
          <w:sz w:val="18"/>
          <w:szCs w:val="18"/>
        </w:rPr>
        <w:t>restação de serviço de agenciamento de estágios para estudantes</w:t>
      </w:r>
      <w:r>
        <w:rPr>
          <w:rFonts w:hint="default" w:ascii="Arial" w:hAnsi="Arial" w:cs="Arial"/>
          <w:i/>
          <w:iCs/>
          <w:color w:val="000000"/>
          <w:sz w:val="18"/>
          <w:szCs w:val="18"/>
          <w:lang w:val="pt-BR"/>
        </w:rPr>
        <w:t>, conforme segue:</w:t>
      </w:r>
    </w:p>
    <w:tbl>
      <w:tblPr>
        <w:tblStyle w:val="3"/>
        <w:tblW w:w="9667" w:type="dxa"/>
        <w:tblInd w:w="55" w:type="dxa"/>
        <w:tblLayout w:type="fixed"/>
        <w:tblCellMar>
          <w:top w:w="55" w:type="dxa"/>
          <w:left w:w="55" w:type="dxa"/>
          <w:bottom w:w="55" w:type="dxa"/>
          <w:right w:w="55" w:type="dxa"/>
        </w:tblCellMar>
      </w:tblPr>
      <w:tblGrid>
        <w:gridCol w:w="570"/>
        <w:gridCol w:w="6195"/>
        <w:gridCol w:w="750"/>
        <w:gridCol w:w="1245"/>
        <w:gridCol w:w="907"/>
      </w:tblGrid>
      <w:tr>
        <w:tblPrEx>
          <w:tblCellMar>
            <w:top w:w="55" w:type="dxa"/>
            <w:left w:w="55" w:type="dxa"/>
            <w:bottom w:w="55" w:type="dxa"/>
            <w:right w:w="55" w:type="dxa"/>
          </w:tblCellMar>
        </w:tblPrEx>
        <w:tc>
          <w:tcPr>
            <w:tcW w:w="570" w:type="dxa"/>
            <w:tcBorders>
              <w:top w:val="single" w:color="000000" w:sz="0" w:space="0"/>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ascii="Arial" w:hAnsi="Arial" w:cs="Arial"/>
                <w:b/>
                <w:bCs/>
                <w:i/>
                <w:iCs/>
                <w:sz w:val="18"/>
                <w:szCs w:val="18"/>
              </w:rPr>
            </w:pPr>
            <w:r>
              <w:rPr>
                <w:rFonts w:ascii="Arial" w:hAnsi="Arial" w:cs="Arial"/>
                <w:b/>
                <w:bCs/>
                <w:i/>
                <w:iCs/>
                <w:sz w:val="18"/>
                <w:szCs w:val="18"/>
              </w:rPr>
              <w:t>Item</w:t>
            </w:r>
          </w:p>
        </w:tc>
        <w:tc>
          <w:tcPr>
            <w:tcW w:w="6195" w:type="dxa"/>
            <w:tcBorders>
              <w:top w:val="single" w:color="000000" w:sz="0" w:space="0"/>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textAlignment w:val="auto"/>
              <w:rPr>
                <w:rFonts w:ascii="Arial" w:hAnsi="Arial" w:cs="Arial"/>
                <w:b/>
                <w:bCs/>
                <w:i/>
                <w:iCs/>
                <w:sz w:val="18"/>
                <w:szCs w:val="18"/>
              </w:rPr>
            </w:pPr>
            <w:r>
              <w:rPr>
                <w:rFonts w:ascii="Arial" w:hAnsi="Arial" w:cs="Arial"/>
                <w:b/>
                <w:bCs/>
                <w:i/>
                <w:iCs/>
                <w:sz w:val="18"/>
                <w:szCs w:val="18"/>
              </w:rPr>
              <w:t>Descrição</w:t>
            </w:r>
          </w:p>
        </w:tc>
        <w:tc>
          <w:tcPr>
            <w:tcW w:w="750" w:type="dxa"/>
            <w:tcBorders>
              <w:top w:val="single" w:color="000000" w:sz="0" w:space="0"/>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ascii="Arial" w:hAnsi="Arial" w:cs="Arial"/>
                <w:b/>
                <w:bCs/>
                <w:i/>
                <w:iCs/>
                <w:sz w:val="18"/>
                <w:szCs w:val="18"/>
              </w:rPr>
            </w:pPr>
            <w:r>
              <w:rPr>
                <w:rFonts w:ascii="Arial" w:hAnsi="Arial" w:cs="Arial"/>
                <w:b/>
                <w:bCs/>
                <w:i/>
                <w:iCs/>
                <w:sz w:val="18"/>
                <w:szCs w:val="18"/>
              </w:rPr>
              <w:t>Unid.</w:t>
            </w:r>
          </w:p>
        </w:tc>
        <w:tc>
          <w:tcPr>
            <w:tcW w:w="1245" w:type="dxa"/>
            <w:tcBorders>
              <w:top w:val="single" w:color="000000" w:sz="0" w:space="0"/>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snapToGrid w:val="0"/>
              <w:jc w:val="center"/>
              <w:textAlignment w:val="auto"/>
              <w:rPr>
                <w:rFonts w:hint="default" w:ascii="Arial" w:hAnsi="Arial" w:cs="Arial"/>
                <w:b/>
                <w:bCs/>
                <w:i/>
                <w:iCs/>
                <w:sz w:val="18"/>
                <w:szCs w:val="18"/>
                <w:lang w:val="pt-BR"/>
              </w:rPr>
            </w:pPr>
            <w:r>
              <w:rPr>
                <w:rFonts w:ascii="Arial" w:hAnsi="Arial" w:cs="Arial"/>
                <w:b/>
                <w:bCs/>
                <w:i/>
                <w:iCs/>
                <w:sz w:val="18"/>
                <w:szCs w:val="18"/>
              </w:rPr>
              <w:t>Quantidade anual</w:t>
            </w:r>
          </w:p>
        </w:tc>
        <w:tc>
          <w:tcPr>
            <w:tcW w:w="907" w:type="dxa"/>
            <w:tcBorders>
              <w:top w:val="single" w:color="000000" w:sz="0" w:space="0"/>
              <w:left w:val="single" w:color="000000" w:sz="0" w:space="0"/>
              <w:bottom w:val="single" w:color="000000" w:sz="0" w:space="0"/>
              <w:right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snapToGrid w:val="0"/>
              <w:jc w:val="center"/>
              <w:textAlignment w:val="auto"/>
              <w:rPr>
                <w:rFonts w:ascii="Arial" w:hAnsi="Arial" w:cs="Arial"/>
                <w:i/>
                <w:iCs/>
                <w:sz w:val="18"/>
                <w:szCs w:val="18"/>
              </w:rPr>
            </w:pPr>
            <w:r>
              <w:rPr>
                <w:rFonts w:ascii="Arial" w:hAnsi="Arial" w:cs="Arial"/>
                <w:b/>
                <w:bCs/>
                <w:i/>
                <w:iCs/>
                <w:sz w:val="18"/>
                <w:szCs w:val="18"/>
              </w:rPr>
              <w:t>Valor Ref.</w:t>
            </w:r>
          </w:p>
        </w:tc>
      </w:tr>
      <w:tr>
        <w:tblPrEx>
          <w:tblCellMar>
            <w:top w:w="55" w:type="dxa"/>
            <w:left w:w="55" w:type="dxa"/>
            <w:bottom w:w="55" w:type="dxa"/>
            <w:right w:w="55" w:type="dxa"/>
          </w:tblCellMar>
        </w:tblPrEx>
        <w:tc>
          <w:tcPr>
            <w:tcW w:w="570" w:type="dxa"/>
            <w:tcBorders>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ascii="Arial" w:hAnsi="Arial" w:cs="Arial"/>
                <w:i/>
                <w:iCs/>
                <w:sz w:val="18"/>
                <w:szCs w:val="18"/>
              </w:rPr>
            </w:pPr>
            <w:r>
              <w:rPr>
                <w:rFonts w:ascii="Arial" w:hAnsi="Arial" w:cs="Arial"/>
                <w:i/>
                <w:iCs/>
                <w:sz w:val="18"/>
                <w:szCs w:val="18"/>
              </w:rPr>
              <w:t>01</w:t>
            </w:r>
          </w:p>
        </w:tc>
        <w:tc>
          <w:tcPr>
            <w:tcW w:w="6195" w:type="dxa"/>
            <w:tcBorders>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both"/>
              <w:textAlignment w:val="auto"/>
              <w:rPr>
                <w:rFonts w:ascii="Arial" w:hAnsi="Arial" w:cs="Arial"/>
                <w:i/>
                <w:iCs/>
                <w:sz w:val="18"/>
                <w:szCs w:val="18"/>
              </w:rPr>
            </w:pPr>
            <w:r>
              <w:rPr>
                <w:rFonts w:ascii="Arial" w:hAnsi="Arial" w:cs="Arial"/>
                <w:i/>
                <w:iCs/>
                <w:sz w:val="18"/>
                <w:szCs w:val="18"/>
              </w:rPr>
              <w:t xml:space="preserve">Serviço de agenciamento de estágios para estudantes regularmente matriculados e com frequência em cursos do ensino regular em instituições de educação superior, de educação profissional, de ensino médio, da educação especial e dos anos finais do ensino fundamental, na modalidade profissional de educação de jovens e adultos, para o preenchimento do número de vagas de oportunidade de estágio curricular supervisionado, mediante concessão de bolsa de estágio, oferecidas pelo Poder Executivo Municipal, em todos os seus órgãos. </w:t>
            </w:r>
          </w:p>
        </w:tc>
        <w:tc>
          <w:tcPr>
            <w:tcW w:w="750" w:type="dxa"/>
            <w:tcBorders>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ascii="Arial" w:hAnsi="Arial" w:cs="Arial"/>
                <w:i/>
                <w:iCs/>
                <w:sz w:val="18"/>
                <w:szCs w:val="18"/>
              </w:rPr>
            </w:pPr>
            <w:r>
              <w:rPr>
                <w:rFonts w:ascii="Arial" w:hAnsi="Arial" w:cs="Arial"/>
                <w:i/>
                <w:iCs/>
                <w:sz w:val="18"/>
                <w:szCs w:val="18"/>
              </w:rPr>
              <w:t>UNID.</w:t>
            </w:r>
          </w:p>
        </w:tc>
        <w:tc>
          <w:tcPr>
            <w:tcW w:w="1245" w:type="dxa"/>
            <w:tcBorders>
              <w:left w:val="single" w:color="000000" w:sz="0" w:space="0"/>
              <w:bottom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hint="default" w:ascii="Arial" w:hAnsi="Arial" w:cs="Arial"/>
                <w:i/>
                <w:iCs/>
                <w:sz w:val="18"/>
                <w:szCs w:val="18"/>
                <w:lang w:val="pt-BR"/>
              </w:rPr>
            </w:pPr>
            <w:r>
              <w:rPr>
                <w:rFonts w:hint="default" w:ascii="Arial" w:hAnsi="Arial" w:cs="Arial"/>
                <w:i/>
                <w:iCs/>
                <w:sz w:val="18"/>
                <w:szCs w:val="18"/>
                <w:lang w:val="pt-BR"/>
              </w:rPr>
              <w:t xml:space="preserve">50 estagiários por mês x 12 meses por ano= </w:t>
            </w:r>
          </w:p>
          <w:p>
            <w:pPr>
              <w:pStyle w:val="13"/>
              <w:keepNext w:val="0"/>
              <w:keepLines w:val="0"/>
              <w:pageBreakBefore w:val="0"/>
              <w:widowControl w:val="0"/>
              <w:kinsoku/>
              <w:wordWrap/>
              <w:overflowPunct/>
              <w:topLinePunct w:val="0"/>
              <w:autoSpaceDE w:val="0"/>
              <w:autoSpaceDN w:val="0"/>
              <w:bidi w:val="0"/>
              <w:adjustRightInd/>
              <w:jc w:val="center"/>
              <w:textAlignment w:val="auto"/>
              <w:rPr>
                <w:rFonts w:hint="default" w:ascii="Arial" w:hAnsi="Arial" w:cs="Arial"/>
                <w:i/>
                <w:iCs/>
                <w:sz w:val="18"/>
                <w:szCs w:val="18"/>
                <w:lang w:val="pt-BR"/>
              </w:rPr>
            </w:pPr>
            <w:r>
              <w:rPr>
                <w:rFonts w:hint="default" w:ascii="Arial" w:hAnsi="Arial" w:cs="Arial"/>
                <w:i/>
                <w:iCs/>
                <w:sz w:val="18"/>
                <w:szCs w:val="18"/>
                <w:lang w:val="pt-BR"/>
              </w:rPr>
              <w:t>600 por ano</w:t>
            </w:r>
          </w:p>
        </w:tc>
        <w:tc>
          <w:tcPr>
            <w:tcW w:w="907" w:type="dxa"/>
            <w:tcBorders>
              <w:left w:val="single" w:color="000000" w:sz="0" w:space="0"/>
              <w:bottom w:val="single" w:color="000000" w:sz="0" w:space="0"/>
              <w:right w:val="single" w:color="000000" w:sz="0" w:space="0"/>
            </w:tcBorders>
            <w:shd w:val="clear" w:color="auto" w:fill="auto"/>
            <w:noWrap w:val="0"/>
            <w:vAlign w:val="center"/>
          </w:tcPr>
          <w:p>
            <w:pPr>
              <w:pStyle w:val="13"/>
              <w:keepNext w:val="0"/>
              <w:keepLines w:val="0"/>
              <w:pageBreakBefore w:val="0"/>
              <w:widowControl w:val="0"/>
              <w:kinsoku/>
              <w:wordWrap/>
              <w:overflowPunct/>
              <w:topLinePunct w:val="0"/>
              <w:autoSpaceDE w:val="0"/>
              <w:autoSpaceDN w:val="0"/>
              <w:bidi w:val="0"/>
              <w:adjustRightInd/>
              <w:jc w:val="center"/>
              <w:textAlignment w:val="auto"/>
              <w:rPr>
                <w:rFonts w:ascii="Arial" w:hAnsi="Arial" w:cs="Arial"/>
                <w:i/>
                <w:iCs/>
                <w:sz w:val="18"/>
                <w:szCs w:val="18"/>
              </w:rPr>
            </w:pPr>
            <w:r>
              <w:rPr>
                <w:rFonts w:ascii="Arial" w:hAnsi="Arial" w:cs="Arial"/>
                <w:b w:val="0"/>
                <w:i/>
                <w:iCs/>
                <w:sz w:val="18"/>
                <w:szCs w:val="18"/>
              </w:rPr>
              <w:t>R$ 13,61</w:t>
            </w:r>
          </w:p>
        </w:tc>
      </w:tr>
    </w:tbl>
    <w:p>
      <w:pPr>
        <w:pStyle w:val="10"/>
        <w:keepNext w:val="0"/>
        <w:keepLines w:val="0"/>
        <w:pageBreakBefore w:val="0"/>
        <w:widowControl w:val="0"/>
        <w:numPr>
          <w:ilvl w:val="1"/>
          <w:numId w:val="1"/>
        </w:numPr>
        <w:kinsoku/>
        <w:wordWrap/>
        <w:overflowPunct/>
        <w:topLinePunct w:val="0"/>
        <w:autoSpaceDE w:val="0"/>
        <w:autoSpaceDN w:val="0"/>
        <w:bidi w:val="0"/>
        <w:adjustRightInd/>
        <w:spacing w:before="0"/>
        <w:jc w:val="both"/>
        <w:textAlignment w:val="auto"/>
        <w:rPr>
          <w:rFonts w:hint="default" w:ascii="Arial" w:hAnsi="Arial" w:eastAsia="SimSun" w:cs="Arial"/>
          <w:i/>
          <w:iCs/>
          <w:color w:val="auto"/>
          <w:sz w:val="18"/>
          <w:szCs w:val="18"/>
          <w:u w:val="single"/>
          <w:lang w:val="en-US" w:eastAsia="pt-BR"/>
        </w:rPr>
      </w:pPr>
      <w:r>
        <w:rPr>
          <w:rFonts w:hint="default" w:ascii="Arial" w:hAnsi="Arial" w:eastAsia="SimSun" w:cs="Arial"/>
          <w:i/>
          <w:iCs/>
          <w:color w:val="auto"/>
          <w:sz w:val="18"/>
          <w:szCs w:val="18"/>
          <w:u w:val="none"/>
          <w:lang w:val="en-US" w:eastAsia="pt-BR"/>
        </w:rPr>
        <w:t>- A empresa deverá ser responsável pelo P</w:t>
      </w:r>
      <w:r>
        <w:rPr>
          <w:rFonts w:hint="default" w:ascii="Arial" w:hAnsi="Arial" w:eastAsia="SimSun" w:cs="Arial"/>
          <w:i/>
          <w:iCs/>
          <w:color w:val="auto"/>
          <w:sz w:val="18"/>
          <w:szCs w:val="18"/>
        </w:rPr>
        <w:t>rocesso Seletivo Público para estagiário</w:t>
      </w:r>
      <w:r>
        <w:rPr>
          <w:rFonts w:hint="default" w:ascii="Arial" w:hAnsi="Arial" w:eastAsia="SimSun" w:cs="Arial"/>
          <w:i/>
          <w:iCs/>
          <w:color w:val="auto"/>
          <w:sz w:val="18"/>
          <w:szCs w:val="18"/>
          <w:lang w:val="pt-BR"/>
        </w:rPr>
        <w:t>, devendo a mesma disponibilizar pelo menos três</w:t>
      </w:r>
      <w:r>
        <w:rPr>
          <w:rFonts w:hint="default" w:ascii="Arial" w:hAnsi="Arial" w:eastAsia="SimSun" w:cs="Arial"/>
          <w:i/>
          <w:iCs/>
          <w:color w:val="auto"/>
          <w:sz w:val="18"/>
          <w:szCs w:val="18"/>
        </w:rPr>
        <w:t xml:space="preserve"> modalidades</w:t>
      </w:r>
      <w:r>
        <w:rPr>
          <w:rFonts w:hint="default" w:ascii="Arial" w:hAnsi="Arial" w:eastAsia="SimSun" w:cs="Arial"/>
          <w:i/>
          <w:iCs/>
          <w:color w:val="auto"/>
          <w:sz w:val="18"/>
          <w:szCs w:val="18"/>
          <w:lang w:val="pt-BR"/>
        </w:rPr>
        <w:t xml:space="preserve">, quais sejam: com </w:t>
      </w:r>
      <w:r>
        <w:rPr>
          <w:rFonts w:hint="default" w:ascii="Arial" w:hAnsi="Arial" w:eastAsia="SimSun" w:cs="Arial"/>
          <w:i/>
          <w:iCs/>
          <w:color w:val="auto"/>
          <w:sz w:val="18"/>
          <w:szCs w:val="18"/>
        </w:rPr>
        <w:t>prova presencial;</w:t>
      </w:r>
      <w:r>
        <w:rPr>
          <w:rFonts w:hint="default" w:ascii="Arial" w:hAnsi="Arial" w:eastAsia="SimSun" w:cs="Arial"/>
          <w:i/>
          <w:iCs/>
          <w:color w:val="auto"/>
          <w:sz w:val="18"/>
          <w:szCs w:val="18"/>
          <w:lang w:val="pt-BR"/>
        </w:rPr>
        <w:t xml:space="preserve"> c</w:t>
      </w:r>
      <w:r>
        <w:rPr>
          <w:rFonts w:hint="default" w:ascii="Arial" w:hAnsi="Arial" w:eastAsia="SimSun" w:cs="Arial"/>
          <w:i/>
          <w:iCs/>
          <w:color w:val="auto"/>
          <w:sz w:val="18"/>
          <w:szCs w:val="18"/>
        </w:rPr>
        <w:t>om prova e online, no site do Agente de Integração;</w:t>
      </w:r>
      <w:r>
        <w:rPr>
          <w:rFonts w:hint="default" w:ascii="Arial" w:hAnsi="Arial" w:eastAsia="SimSun" w:cs="Arial"/>
          <w:i/>
          <w:iCs/>
          <w:color w:val="auto"/>
          <w:sz w:val="18"/>
          <w:szCs w:val="18"/>
          <w:lang w:val="pt-BR"/>
        </w:rPr>
        <w:t xml:space="preserve"> e p</w:t>
      </w:r>
      <w:r>
        <w:rPr>
          <w:rFonts w:hint="default" w:ascii="Arial" w:hAnsi="Arial" w:eastAsia="SimSun" w:cs="Arial"/>
          <w:i/>
          <w:iCs/>
          <w:color w:val="auto"/>
          <w:sz w:val="18"/>
          <w:szCs w:val="18"/>
        </w:rPr>
        <w:t>or meio de sorteio Eletrônico.</w:t>
      </w:r>
    </w:p>
    <w:p>
      <w:pPr>
        <w:pStyle w:val="10"/>
        <w:keepNext w:val="0"/>
        <w:keepLines w:val="0"/>
        <w:pageBreakBefore w:val="0"/>
        <w:widowControl w:val="0"/>
        <w:numPr>
          <w:ilvl w:val="1"/>
          <w:numId w:val="1"/>
        </w:numPr>
        <w:kinsoku/>
        <w:wordWrap/>
        <w:overflowPunct/>
        <w:topLinePunct w:val="0"/>
        <w:autoSpaceDE w:val="0"/>
        <w:autoSpaceDN w:val="0"/>
        <w:bidi w:val="0"/>
        <w:adjustRightInd/>
        <w:spacing w:before="0"/>
        <w:jc w:val="both"/>
        <w:textAlignment w:val="auto"/>
        <w:rPr>
          <w:rFonts w:hint="default" w:ascii="Arial" w:hAnsi="Arial" w:eastAsia="SimSun" w:cs="Arial"/>
          <w:i/>
          <w:iCs/>
          <w:color w:val="auto"/>
          <w:sz w:val="18"/>
          <w:szCs w:val="18"/>
          <w:u w:val="single"/>
          <w:lang w:val="en-US" w:eastAsia="pt-BR"/>
        </w:rPr>
      </w:pPr>
      <w:r>
        <w:rPr>
          <w:rFonts w:hint="default" w:ascii="Arial" w:hAnsi="Arial" w:eastAsia="SimSun" w:cs="Arial"/>
          <w:i/>
          <w:iCs/>
          <w:color w:val="auto"/>
          <w:sz w:val="18"/>
          <w:szCs w:val="18"/>
          <w:lang w:val="pt-BR"/>
        </w:rPr>
        <w:t>A licitante deverá disponibilizar o serviço de</w:t>
      </w:r>
      <w:r>
        <w:rPr>
          <w:rFonts w:hint="default" w:ascii="Arial" w:hAnsi="Arial" w:eastAsia="SimSun" w:cs="Arial"/>
          <w:i/>
          <w:iCs/>
          <w:color w:val="auto"/>
          <w:sz w:val="18"/>
          <w:szCs w:val="18"/>
        </w:rPr>
        <w:t xml:space="preserve"> Acompanhamento do Estágio por meio do preenchimento de relatório diretamente no PORTAL do Agente de Integração (Estagiário, Supervisor do estágio n</w:t>
      </w:r>
      <w:r>
        <w:rPr>
          <w:rFonts w:hint="default" w:ascii="Arial" w:hAnsi="Arial" w:eastAsia="SimSun" w:cs="Arial"/>
          <w:i/>
          <w:iCs/>
          <w:color w:val="auto"/>
          <w:sz w:val="18"/>
          <w:szCs w:val="18"/>
          <w:lang w:val="pt-BR"/>
        </w:rPr>
        <w:t>o Município,</w:t>
      </w:r>
      <w:r>
        <w:rPr>
          <w:rFonts w:hint="default" w:ascii="Arial" w:hAnsi="Arial" w:eastAsia="SimSun" w:cs="Arial"/>
          <w:i/>
          <w:iCs/>
          <w:color w:val="auto"/>
          <w:sz w:val="18"/>
          <w:szCs w:val="18"/>
        </w:rPr>
        <w:t xml:space="preserve"> e Orientador do estágio da Instituição de Ensino).</w:t>
      </w:r>
    </w:p>
    <w:p>
      <w:pPr>
        <w:pStyle w:val="10"/>
        <w:keepNext w:val="0"/>
        <w:keepLines w:val="0"/>
        <w:pageBreakBefore w:val="0"/>
        <w:widowControl w:val="0"/>
        <w:numPr>
          <w:ilvl w:val="1"/>
          <w:numId w:val="1"/>
        </w:numPr>
        <w:kinsoku/>
        <w:wordWrap/>
        <w:overflowPunct/>
        <w:topLinePunct w:val="0"/>
        <w:autoSpaceDE w:val="0"/>
        <w:autoSpaceDN w:val="0"/>
        <w:bidi w:val="0"/>
        <w:adjustRightInd/>
        <w:spacing w:before="0"/>
        <w:jc w:val="both"/>
        <w:textAlignment w:val="auto"/>
        <w:rPr>
          <w:rFonts w:hint="default" w:ascii="Arial" w:hAnsi="Arial" w:eastAsia="SimSun" w:cs="Arial"/>
          <w:i/>
          <w:iCs/>
          <w:color w:val="auto"/>
          <w:sz w:val="18"/>
          <w:szCs w:val="18"/>
          <w:u w:val="single"/>
          <w:lang w:val="en-US" w:eastAsia="pt-BR"/>
        </w:rPr>
      </w:pPr>
      <w:r>
        <w:rPr>
          <w:rFonts w:hint="default" w:ascii="Arial" w:hAnsi="Arial" w:eastAsia="SimSun" w:cs="Arial"/>
          <w:i/>
          <w:iCs/>
          <w:color w:val="auto"/>
          <w:sz w:val="18"/>
          <w:szCs w:val="18"/>
          <w:lang w:val="pt-BR"/>
        </w:rPr>
        <w:t>A licitante deverá realizar t</w:t>
      </w:r>
      <w:r>
        <w:rPr>
          <w:rFonts w:hint="default" w:ascii="Arial" w:hAnsi="Arial" w:eastAsia="SimSun" w:cs="Arial"/>
          <w:i/>
          <w:iCs/>
          <w:color w:val="auto"/>
          <w:sz w:val="18"/>
          <w:szCs w:val="18"/>
        </w:rPr>
        <w:t xml:space="preserve">este </w:t>
      </w:r>
      <w:r>
        <w:rPr>
          <w:rFonts w:hint="default" w:ascii="Arial" w:hAnsi="Arial" w:eastAsia="SimSun" w:cs="Arial"/>
          <w:i/>
          <w:iCs/>
          <w:color w:val="auto"/>
          <w:sz w:val="18"/>
          <w:szCs w:val="18"/>
          <w:lang w:val="pt-BR"/>
        </w:rPr>
        <w:t>c</w:t>
      </w:r>
      <w:r>
        <w:rPr>
          <w:rFonts w:hint="default" w:ascii="Arial" w:hAnsi="Arial" w:eastAsia="SimSun" w:cs="Arial"/>
          <w:i/>
          <w:iCs/>
          <w:color w:val="auto"/>
          <w:sz w:val="18"/>
          <w:szCs w:val="18"/>
        </w:rPr>
        <w:t xml:space="preserve">omportamental dos estudantes aprovados no Processo Seletivo Público de Estagiários, </w:t>
      </w:r>
      <w:r>
        <w:rPr>
          <w:rFonts w:hint="default" w:ascii="Arial" w:hAnsi="Arial" w:eastAsia="SimSun" w:cs="Arial"/>
          <w:i/>
          <w:iCs/>
          <w:color w:val="auto"/>
          <w:sz w:val="18"/>
          <w:szCs w:val="18"/>
          <w:lang w:val="pt-BR"/>
        </w:rPr>
        <w:t xml:space="preserve">para </w:t>
      </w:r>
      <w:r>
        <w:rPr>
          <w:rFonts w:hint="default" w:ascii="Arial" w:hAnsi="Arial" w:eastAsia="SimSun" w:cs="Arial"/>
          <w:i/>
          <w:iCs/>
          <w:color w:val="auto"/>
          <w:sz w:val="18"/>
          <w:szCs w:val="18"/>
        </w:rPr>
        <w:t>obte</w:t>
      </w:r>
      <w:r>
        <w:rPr>
          <w:rFonts w:hint="default" w:ascii="Arial" w:hAnsi="Arial" w:eastAsia="SimSun" w:cs="Arial"/>
          <w:i/>
          <w:iCs/>
          <w:color w:val="auto"/>
          <w:sz w:val="18"/>
          <w:szCs w:val="18"/>
          <w:lang w:val="pt-BR"/>
        </w:rPr>
        <w:t>nção de</w:t>
      </w:r>
      <w:r>
        <w:rPr>
          <w:rFonts w:hint="default" w:ascii="Arial" w:hAnsi="Arial" w:eastAsia="SimSun" w:cs="Arial"/>
          <w:i/>
          <w:iCs/>
          <w:color w:val="auto"/>
          <w:sz w:val="18"/>
          <w:szCs w:val="18"/>
        </w:rPr>
        <w:t xml:space="preserve"> índices de performance indicando as habilidades cognitivas dos estudantes, </w:t>
      </w:r>
      <w:r>
        <w:rPr>
          <w:rFonts w:hint="default" w:ascii="Arial" w:hAnsi="Arial" w:eastAsia="SimSun" w:cs="Arial"/>
          <w:i/>
          <w:iCs/>
          <w:color w:val="auto"/>
          <w:sz w:val="18"/>
          <w:szCs w:val="18"/>
          <w:lang w:val="pt-BR"/>
        </w:rPr>
        <w:t xml:space="preserve">e </w:t>
      </w:r>
      <w:r>
        <w:rPr>
          <w:rFonts w:hint="default" w:ascii="Arial" w:hAnsi="Arial" w:eastAsia="SimSun" w:cs="Arial"/>
          <w:i/>
          <w:iCs/>
          <w:color w:val="auto"/>
          <w:sz w:val="18"/>
          <w:szCs w:val="18"/>
        </w:rPr>
        <w:t>designar o(a) estagiário(a) para a área mais adequada.</w:t>
      </w:r>
    </w:p>
    <w:p>
      <w:pPr>
        <w:pStyle w:val="10"/>
        <w:keepNext w:val="0"/>
        <w:keepLines w:val="0"/>
        <w:pageBreakBefore w:val="0"/>
        <w:widowControl w:val="0"/>
        <w:numPr>
          <w:ilvl w:val="1"/>
          <w:numId w:val="1"/>
        </w:numPr>
        <w:kinsoku/>
        <w:wordWrap/>
        <w:overflowPunct/>
        <w:topLinePunct w:val="0"/>
        <w:autoSpaceDE w:val="0"/>
        <w:autoSpaceDN w:val="0"/>
        <w:bidi w:val="0"/>
        <w:adjustRightInd/>
        <w:spacing w:before="0"/>
        <w:jc w:val="both"/>
        <w:textAlignment w:val="auto"/>
        <w:rPr>
          <w:rFonts w:hint="default" w:ascii="Arial" w:hAnsi="Arial" w:eastAsia="SimSun" w:cs="Arial"/>
          <w:i/>
          <w:iCs/>
          <w:color w:val="auto"/>
          <w:sz w:val="18"/>
          <w:szCs w:val="18"/>
          <w:u w:val="single"/>
          <w:lang w:val="en-US" w:eastAsia="pt-BR"/>
        </w:rPr>
      </w:pPr>
      <w:r>
        <w:rPr>
          <w:rFonts w:hint="default" w:ascii="Arial" w:hAnsi="Arial" w:eastAsia="SimSun" w:cs="Arial"/>
          <w:i/>
          <w:iCs/>
          <w:color w:val="auto"/>
          <w:sz w:val="18"/>
          <w:szCs w:val="18"/>
          <w:lang w:val="pt-BR"/>
        </w:rPr>
        <w:t>A licitante deverá disponibilizar c</w:t>
      </w:r>
      <w:r>
        <w:rPr>
          <w:rFonts w:hint="default" w:ascii="Arial" w:hAnsi="Arial" w:eastAsia="SimSun" w:cs="Arial"/>
          <w:i/>
          <w:iCs/>
          <w:color w:val="auto"/>
          <w:sz w:val="18"/>
          <w:szCs w:val="18"/>
        </w:rPr>
        <w:t>onsultas médicas gratuitas para os estagiários</w:t>
      </w:r>
      <w:r>
        <w:rPr>
          <w:rFonts w:hint="default" w:ascii="Arial" w:hAnsi="Arial" w:eastAsia="SimSun" w:cs="Arial"/>
          <w:i/>
          <w:iCs/>
          <w:color w:val="auto"/>
          <w:sz w:val="18"/>
          <w:szCs w:val="18"/>
          <w:lang w:val="pt-BR"/>
        </w:rPr>
        <w:t xml:space="preserve">, podendo ser de forma presencial ou </w:t>
      </w:r>
      <w:r>
        <w:rPr>
          <w:rFonts w:hint="default" w:ascii="Arial" w:hAnsi="Arial" w:eastAsia="SimSun" w:cs="Arial"/>
          <w:i/>
          <w:iCs/>
          <w:color w:val="auto"/>
          <w:sz w:val="18"/>
          <w:szCs w:val="18"/>
        </w:rPr>
        <w:t>por meio de Telemedicina.</w:t>
      </w:r>
    </w:p>
    <w:p>
      <w:pPr>
        <w:pStyle w:val="10"/>
        <w:keepNext w:val="0"/>
        <w:keepLines w:val="0"/>
        <w:pageBreakBefore w:val="0"/>
        <w:widowControl w:val="0"/>
        <w:numPr>
          <w:ilvl w:val="0"/>
          <w:numId w:val="0"/>
        </w:numPr>
        <w:kinsoku/>
        <w:wordWrap/>
        <w:overflowPunct/>
        <w:topLinePunct w:val="0"/>
        <w:autoSpaceDE w:val="0"/>
        <w:autoSpaceDN w:val="0"/>
        <w:bidi w:val="0"/>
        <w:adjustRightInd/>
        <w:spacing w:before="0"/>
        <w:ind w:leftChars="0"/>
        <w:jc w:val="both"/>
        <w:textAlignment w:val="auto"/>
        <w:rPr>
          <w:rFonts w:hint="default" w:ascii="Arial" w:hAnsi="Arial" w:eastAsia="SimSun" w:cs="Arial"/>
          <w:color w:val="auto"/>
          <w:sz w:val="18"/>
          <w:szCs w:val="18"/>
          <w:u w:val="single"/>
          <w:lang w:val="en-US" w:eastAsia="pt-BR"/>
        </w:rPr>
      </w:pPr>
    </w:p>
    <w:p>
      <w:pPr>
        <w:pStyle w:val="7"/>
        <w:numPr>
          <w:ilvl w:val="0"/>
          <w:numId w:val="0"/>
        </w:numPr>
        <w:spacing w:before="0" w:beforeAutospacing="0" w:after="0" w:afterAutospacing="0"/>
        <w:jc w:val="both"/>
        <w:rPr>
          <w:rFonts w:hint="default" w:ascii="Arial" w:hAnsi="Arial" w:cs="Arial"/>
          <w:b/>
          <w:bCs/>
          <w:lang w:val="pt-BR"/>
        </w:rPr>
      </w:pPr>
      <w:r>
        <w:rPr>
          <w:rFonts w:hint="default" w:ascii="Arial" w:hAnsi="Arial" w:cs="Arial"/>
          <w:b/>
          <w:bCs/>
          <w:lang w:val="pt-BR"/>
        </w:rPr>
        <w:t>2 - Quantidade:</w:t>
      </w:r>
    </w:p>
    <w:p>
      <w:pPr>
        <w:pStyle w:val="7"/>
        <w:numPr>
          <w:ilvl w:val="0"/>
          <w:numId w:val="0"/>
        </w:numPr>
        <w:spacing w:before="0" w:beforeAutospacing="0" w:after="0" w:afterAutospacing="0"/>
        <w:jc w:val="both"/>
        <w:rPr>
          <w:rFonts w:hint="default" w:ascii="Arial" w:hAnsi="Arial" w:cs="Arial"/>
          <w:i w:val="0"/>
          <w:iCs w:val="0"/>
          <w:sz w:val="18"/>
          <w:szCs w:val="18"/>
          <w:u w:val="single"/>
          <w:lang w:val="pt-BR"/>
        </w:rPr>
      </w:pPr>
      <w:r>
        <w:rPr>
          <w:rFonts w:ascii="Arial" w:hAnsi="Arial" w:cs="Arial"/>
          <w:i w:val="0"/>
          <w:iCs w:val="0"/>
          <w:sz w:val="18"/>
          <w:szCs w:val="18"/>
          <w:u w:val="none"/>
        </w:rPr>
        <w:t>Quantificação</w:t>
      </w:r>
      <w:r>
        <w:rPr>
          <w:rFonts w:hint="default" w:ascii="Arial" w:hAnsi="Arial" w:cs="Arial"/>
          <w:i w:val="0"/>
          <w:iCs w:val="0"/>
          <w:sz w:val="18"/>
          <w:szCs w:val="18"/>
          <w:u w:val="none"/>
          <w:lang w:val="pt-BR"/>
        </w:rPr>
        <w:t xml:space="preserve"> conforme disposto no item 1 deste TR.</w:t>
      </w:r>
    </w:p>
    <w:p>
      <w:pPr>
        <w:pStyle w:val="7"/>
        <w:numPr>
          <w:ilvl w:val="0"/>
          <w:numId w:val="0"/>
        </w:numPr>
        <w:spacing w:before="0" w:beforeAutospacing="0" w:after="0" w:afterAutospacing="0"/>
        <w:jc w:val="both"/>
        <w:rPr>
          <w:rFonts w:hint="default" w:ascii="Arial" w:hAnsi="Arial" w:cs="Arial"/>
          <w:sz w:val="18"/>
          <w:szCs w:val="18"/>
          <w:lang w:val="pt-BR"/>
        </w:rPr>
      </w:pPr>
    </w:p>
    <w:p>
      <w:pPr>
        <w:pStyle w:val="7"/>
        <w:numPr>
          <w:ilvl w:val="0"/>
          <w:numId w:val="2"/>
        </w:numPr>
        <w:spacing w:before="0" w:beforeAutospacing="0" w:after="0" w:afterAutospacing="0"/>
        <w:jc w:val="both"/>
        <w:rPr>
          <w:rFonts w:ascii="Arial" w:hAnsi="Arial" w:cs="Arial"/>
          <w:b/>
          <w:bCs/>
        </w:rPr>
      </w:pPr>
      <w:r>
        <w:rPr>
          <w:rFonts w:hint="default" w:ascii="Arial" w:hAnsi="Arial" w:cs="Arial"/>
          <w:b/>
          <w:bCs/>
          <w:lang w:val="pt-BR"/>
        </w:rPr>
        <w:t>Vigência do contrato:</w:t>
      </w:r>
    </w:p>
    <w:p>
      <w:pPr>
        <w:pStyle w:val="7"/>
        <w:numPr>
          <w:ilvl w:val="0"/>
          <w:numId w:val="0"/>
        </w:numPr>
        <w:spacing w:before="0" w:beforeAutospacing="0" w:after="0" w:afterAutospacing="0"/>
        <w:ind w:leftChars="0"/>
        <w:jc w:val="both"/>
        <w:rPr>
          <w:rFonts w:ascii="Arial" w:hAnsi="Arial" w:cs="Arial"/>
          <w:i/>
          <w:iCs/>
          <w:sz w:val="18"/>
          <w:szCs w:val="18"/>
        </w:rPr>
      </w:pPr>
      <w:bookmarkStart w:id="1" w:name="art6xxiiib"/>
      <w:bookmarkEnd w:id="1"/>
      <w:r>
        <w:rPr>
          <w:rFonts w:ascii="Arial" w:hAnsi="Arial" w:cs="Arial"/>
          <w:i/>
          <w:iCs/>
          <w:sz w:val="18"/>
          <w:szCs w:val="18"/>
        </w:rPr>
        <w:t>O contrato a ser firmado terá validade de 12 meses, a contar da assinatura do contrato, prorrogáveis por iguais e sucessivos períodos, limitados a 60 meses.</w:t>
      </w:r>
    </w:p>
    <w:p>
      <w:pPr>
        <w:pStyle w:val="7"/>
        <w:numPr>
          <w:ilvl w:val="0"/>
          <w:numId w:val="0"/>
        </w:numPr>
        <w:spacing w:before="0" w:beforeAutospacing="0" w:after="0" w:afterAutospacing="0"/>
        <w:ind w:leftChars="0"/>
        <w:jc w:val="both"/>
        <w:rPr>
          <w:rFonts w:ascii="Arial" w:hAnsi="Arial" w:cs="Arial"/>
          <w:sz w:val="18"/>
          <w:szCs w:val="18"/>
        </w:rPr>
      </w:pPr>
    </w:p>
    <w:p>
      <w:pPr>
        <w:pStyle w:val="7"/>
        <w:numPr>
          <w:ilvl w:val="0"/>
          <w:numId w:val="2"/>
        </w:numPr>
        <w:spacing w:before="0" w:beforeAutospacing="0" w:after="0" w:afterAutospacing="0"/>
        <w:ind w:left="0" w:leftChars="0" w:firstLine="0" w:firstLineChars="0"/>
        <w:jc w:val="both"/>
        <w:rPr>
          <w:rFonts w:ascii="Arial" w:hAnsi="Arial" w:cs="Arial"/>
          <w:b/>
          <w:bCs/>
        </w:rPr>
      </w:pPr>
      <w:r>
        <w:rPr>
          <w:rFonts w:hint="default" w:ascii="Arial" w:hAnsi="Arial" w:cs="Arial"/>
          <w:b/>
          <w:bCs/>
          <w:lang w:val="pt-BR"/>
        </w:rPr>
        <w:t>J</w:t>
      </w:r>
      <w:r>
        <w:rPr>
          <w:rFonts w:ascii="Arial" w:hAnsi="Arial" w:cs="Arial"/>
          <w:b/>
          <w:bCs/>
        </w:rPr>
        <w:t>ustificativa da necessidade da contratação</w:t>
      </w:r>
      <w:r>
        <w:rPr>
          <w:rFonts w:hint="default" w:ascii="Arial" w:hAnsi="Arial" w:cs="Arial"/>
          <w:b/>
          <w:bCs/>
          <w:lang w:val="pt-BR"/>
        </w:rPr>
        <w:t>:</w:t>
      </w:r>
    </w:p>
    <w:p>
      <w:pPr>
        <w:jc w:val="both"/>
        <w:rPr>
          <w:rFonts w:hint="default" w:ascii="Arial" w:hAnsi="Arial" w:cs="Arial"/>
          <w:i/>
          <w:iCs/>
          <w:color w:val="auto"/>
          <w:sz w:val="18"/>
          <w:szCs w:val="18"/>
          <w:highlight w:val="yellow"/>
          <w:u w:val="single"/>
          <w:lang w:val="pt-BR"/>
        </w:rPr>
      </w:pPr>
      <w:r>
        <w:rPr>
          <w:rFonts w:hint="default" w:ascii="Arial" w:hAnsi="Arial" w:eastAsia="Arial" w:cs="Arial"/>
          <w:i/>
          <w:iCs/>
          <w:caps w:val="0"/>
          <w:color w:val="auto"/>
          <w:spacing w:val="0"/>
          <w:sz w:val="18"/>
          <w:szCs w:val="18"/>
          <w:shd w:val="clear" w:fill="FFFFFF"/>
          <w:lang w:val="pt-BR"/>
        </w:rPr>
        <w:t xml:space="preserve">Considerando que o Município de Bom Princípio preza pela excelência no atendimento aos Munícipes, busca-se o aprimoramento através de servidores </w:t>
      </w:r>
      <w:r>
        <w:rPr>
          <w:rFonts w:hint="default" w:ascii="Arial" w:hAnsi="Arial" w:eastAsia="Arial" w:cs="Arial"/>
          <w:i/>
          <w:iCs/>
          <w:caps w:val="0"/>
          <w:color w:val="auto"/>
          <w:spacing w:val="0"/>
          <w:sz w:val="18"/>
          <w:szCs w:val="18"/>
        </w:rPr>
        <w:t>que estejam dispostos a aprender, tenham ambição profissional, sejam flexíveis e demonstrem comprometimento</w:t>
      </w:r>
      <w:r>
        <w:rPr>
          <w:rFonts w:hint="default" w:ascii="Arial" w:hAnsi="Arial" w:eastAsia="Arial" w:cs="Arial"/>
          <w:i/>
          <w:iCs/>
          <w:caps w:val="0"/>
          <w:color w:val="auto"/>
          <w:spacing w:val="0"/>
          <w:sz w:val="18"/>
          <w:szCs w:val="18"/>
          <w:shd w:val="clear" w:fill="FFFFFF"/>
          <w:lang w:val="pt-BR"/>
        </w:rPr>
        <w:t>, com</w:t>
      </w:r>
      <w:r>
        <w:rPr>
          <w:rFonts w:hint="default" w:ascii="Arial" w:hAnsi="Arial" w:eastAsia="Arial" w:cs="Arial"/>
          <w:i/>
          <w:iCs/>
          <w:caps w:val="0"/>
          <w:color w:val="auto"/>
          <w:spacing w:val="0"/>
          <w:sz w:val="18"/>
          <w:szCs w:val="18"/>
          <w:shd w:val="clear" w:fill="FFFFFF"/>
        </w:rPr>
        <w:t xml:space="preserve"> autonomia e capacidade de comunicação.</w:t>
      </w:r>
      <w:r>
        <w:rPr>
          <w:rFonts w:hint="default" w:ascii="Arial" w:hAnsi="Arial" w:eastAsia="Arial" w:cs="Arial"/>
          <w:i/>
          <w:iCs/>
          <w:caps w:val="0"/>
          <w:color w:val="auto"/>
          <w:spacing w:val="0"/>
          <w:sz w:val="18"/>
          <w:szCs w:val="18"/>
          <w:shd w:val="clear" w:fill="FFFFFF"/>
          <w:lang w:val="pt-BR"/>
        </w:rPr>
        <w:t xml:space="preserve"> Todavia, as</w:t>
      </w:r>
      <w:r>
        <w:rPr>
          <w:rFonts w:ascii="Arial" w:hAnsi="Arial" w:eastAsia="Arial" w:cs="Arial"/>
          <w:i/>
          <w:iCs/>
          <w:caps w:val="0"/>
          <w:color w:val="auto"/>
          <w:spacing w:val="0"/>
          <w:sz w:val="18"/>
          <w:szCs w:val="18"/>
          <w:shd w:val="clear" w:fill="FFFFFF"/>
        </w:rPr>
        <w:t xml:space="preserve"> principais ações que envolvem a atração de talentos </w:t>
      </w:r>
      <w:r>
        <w:rPr>
          <w:rFonts w:hint="default" w:ascii="Arial" w:hAnsi="Arial" w:eastAsia="Arial" w:cs="Arial"/>
          <w:i/>
          <w:iCs/>
          <w:caps w:val="0"/>
          <w:color w:val="auto"/>
          <w:spacing w:val="0"/>
          <w:sz w:val="18"/>
          <w:szCs w:val="18"/>
          <w:shd w:val="clear" w:fill="FFFFFF"/>
          <w:lang w:val="pt-BR"/>
        </w:rPr>
        <w:t xml:space="preserve">e a </w:t>
      </w:r>
      <w:r>
        <w:rPr>
          <w:rFonts w:ascii="Arial" w:hAnsi="Arial" w:eastAsia="Arial" w:cs="Arial"/>
          <w:i/>
          <w:iCs/>
          <w:caps w:val="0"/>
          <w:color w:val="auto"/>
          <w:spacing w:val="0"/>
          <w:sz w:val="18"/>
          <w:szCs w:val="18"/>
          <w:shd w:val="clear" w:fill="FFFFFF"/>
        </w:rPr>
        <w:t>burocracia que possa surgir nessa relação entre</w:t>
      </w:r>
      <w:r>
        <w:rPr>
          <w:rFonts w:hint="default" w:ascii="Arial" w:hAnsi="Arial" w:eastAsia="Arial" w:cs="Arial"/>
          <w:i/>
          <w:iCs/>
          <w:caps w:val="0"/>
          <w:color w:val="auto"/>
          <w:spacing w:val="0"/>
          <w:sz w:val="18"/>
          <w:szCs w:val="18"/>
          <w:shd w:val="clear" w:fill="FFFFFF"/>
        </w:rPr>
        <w:t> </w:t>
      </w:r>
      <w:r>
        <w:rPr>
          <w:rFonts w:hint="default" w:ascii="Arial" w:hAnsi="Arial" w:eastAsia="Arial" w:cs="Arial"/>
          <w:i/>
          <w:iCs/>
          <w:caps w:val="0"/>
          <w:color w:val="auto"/>
          <w:spacing w:val="0"/>
          <w:sz w:val="18"/>
          <w:szCs w:val="18"/>
        </w:rPr>
        <w:t>estagiários</w:t>
      </w:r>
      <w:r>
        <w:rPr>
          <w:rFonts w:hint="default" w:ascii="Arial" w:hAnsi="Arial" w:eastAsia="Arial" w:cs="Arial"/>
          <w:i/>
          <w:iCs/>
          <w:caps w:val="0"/>
          <w:color w:val="auto"/>
          <w:spacing w:val="0"/>
          <w:sz w:val="18"/>
          <w:szCs w:val="18"/>
          <w:shd w:val="clear" w:fill="FFFFFF"/>
        </w:rPr>
        <w:t>, empresas e instituições de ensino, sempre zelando pelo cumprimento da lei</w:t>
      </w:r>
      <w:r>
        <w:rPr>
          <w:rFonts w:hint="default" w:ascii="Arial" w:hAnsi="Arial" w:eastAsia="Arial" w:cs="Arial"/>
          <w:i/>
          <w:iCs/>
          <w:caps w:val="0"/>
          <w:color w:val="auto"/>
          <w:spacing w:val="0"/>
          <w:sz w:val="18"/>
          <w:szCs w:val="18"/>
          <w:shd w:val="clear" w:fill="FFFFFF"/>
          <w:lang w:val="pt-BR"/>
        </w:rPr>
        <w:t>, não é de expertise do Município, e, portanto, torna-se viável e necessária a contratação de tais serviços terceirizados.</w:t>
      </w:r>
    </w:p>
    <w:p>
      <w:pPr>
        <w:pStyle w:val="7"/>
        <w:numPr>
          <w:ilvl w:val="0"/>
          <w:numId w:val="0"/>
        </w:numPr>
        <w:spacing w:before="0" w:beforeAutospacing="0" w:after="0" w:afterAutospacing="0"/>
        <w:ind w:leftChars="0"/>
        <w:jc w:val="both"/>
        <w:rPr>
          <w:rFonts w:ascii="Arial" w:hAnsi="Arial" w:cs="Arial"/>
          <w:sz w:val="18"/>
          <w:szCs w:val="18"/>
        </w:rPr>
      </w:pPr>
    </w:p>
    <w:p>
      <w:pPr>
        <w:pStyle w:val="7"/>
        <w:numPr>
          <w:ilvl w:val="0"/>
          <w:numId w:val="2"/>
        </w:numPr>
        <w:spacing w:before="0" w:beforeAutospacing="0" w:after="0" w:afterAutospacing="0"/>
        <w:ind w:left="0" w:leftChars="0" w:firstLine="0" w:firstLineChars="0"/>
        <w:jc w:val="both"/>
        <w:rPr>
          <w:rFonts w:ascii="Arial" w:hAnsi="Arial" w:cs="Arial"/>
          <w:b/>
          <w:bCs/>
        </w:rPr>
      </w:pPr>
      <w:bookmarkStart w:id="2" w:name="art6xxiiid"/>
      <w:bookmarkEnd w:id="2"/>
      <w:r>
        <w:rPr>
          <w:rFonts w:hint="default" w:ascii="Arial" w:hAnsi="Arial" w:cs="Arial"/>
          <w:b/>
          <w:bCs/>
          <w:lang w:val="pt-BR"/>
        </w:rPr>
        <w:t>R</w:t>
      </w:r>
      <w:r>
        <w:rPr>
          <w:rFonts w:ascii="Arial" w:hAnsi="Arial" w:cs="Arial"/>
          <w:b/>
          <w:bCs/>
        </w:rPr>
        <w:t>equisitos</w:t>
      </w:r>
      <w:r>
        <w:rPr>
          <w:rFonts w:hint="default" w:ascii="Arial" w:hAnsi="Arial" w:cs="Arial"/>
          <w:b/>
          <w:bCs/>
          <w:lang w:val="pt-BR"/>
        </w:rPr>
        <w:t>:</w:t>
      </w:r>
    </w:p>
    <w:p>
      <w:pPr>
        <w:jc w:val="both"/>
        <w:rPr>
          <w:rFonts w:ascii="Arial" w:hAnsi="Arial" w:eastAsia="Calibri" w:cs="Arial"/>
          <w:b w:val="0"/>
          <w:bCs w:val="0"/>
          <w:i/>
          <w:iCs/>
          <w:sz w:val="18"/>
          <w:szCs w:val="18"/>
        </w:rPr>
      </w:pPr>
      <w:r>
        <w:rPr>
          <w:rFonts w:hint="default" w:ascii="Arial" w:hAnsi="Arial" w:eastAsia="Calibri" w:cs="Arial"/>
          <w:b/>
          <w:bCs/>
          <w:i/>
          <w:iCs/>
          <w:sz w:val="18"/>
          <w:szCs w:val="18"/>
          <w:lang w:val="pt-BR"/>
        </w:rPr>
        <w:t>5.</w:t>
      </w:r>
      <w:r>
        <w:rPr>
          <w:rFonts w:ascii="Arial" w:hAnsi="Arial" w:eastAsia="Calibri" w:cs="Arial"/>
          <w:b/>
          <w:bCs/>
          <w:i/>
          <w:iCs/>
          <w:sz w:val="18"/>
          <w:szCs w:val="18"/>
        </w:rPr>
        <w:t>1 - Habilitação Jurídica:</w:t>
      </w:r>
    </w:p>
    <w:p>
      <w:pPr>
        <w:jc w:val="both"/>
        <w:rPr>
          <w:rFonts w:ascii="Arial" w:hAnsi="Arial" w:eastAsia="Calibri" w:cs="Arial"/>
          <w:b w:val="0"/>
          <w:bCs w:val="0"/>
          <w:i/>
          <w:iCs/>
          <w:sz w:val="18"/>
          <w:szCs w:val="18"/>
        </w:rPr>
      </w:pPr>
      <w:r>
        <w:rPr>
          <w:rFonts w:ascii="Arial" w:hAnsi="Arial" w:eastAsia="Calibri" w:cs="Arial"/>
          <w:b w:val="0"/>
          <w:bCs w:val="0"/>
          <w:i/>
          <w:iCs/>
          <w:sz w:val="18"/>
          <w:szCs w:val="18"/>
        </w:rPr>
        <w:t>a) Registro comercial no caso de empresa individual;</w:t>
      </w:r>
    </w:p>
    <w:p>
      <w:pPr>
        <w:jc w:val="both"/>
        <w:rPr>
          <w:rFonts w:ascii="Arial" w:hAnsi="Arial" w:cs="Arial"/>
          <w:b w:val="0"/>
          <w:bCs w:val="0"/>
          <w:i/>
          <w:iCs/>
          <w:color w:val="000000"/>
          <w:sz w:val="18"/>
          <w:szCs w:val="18"/>
        </w:rPr>
      </w:pPr>
      <w:r>
        <w:rPr>
          <w:rFonts w:ascii="Arial" w:hAnsi="Arial" w:eastAsia="Calibri" w:cs="Arial"/>
          <w:b w:val="0"/>
          <w:bCs w:val="0"/>
          <w:i/>
          <w:iCs/>
          <w:sz w:val="18"/>
          <w:szCs w:val="18"/>
        </w:rPr>
        <w:t>b) Ato constitutivo, estatuto ou contrato social em vigor, devidamente registrado, no caso de sociedade comercial, acompanhado de documentos de eleição de seus diretores, no caso de sociedade por ações</w:t>
      </w:r>
      <w:r>
        <w:rPr>
          <w:rFonts w:ascii="Arial" w:hAnsi="Arial" w:cs="Arial"/>
          <w:b w:val="0"/>
          <w:bCs w:val="0"/>
          <w:i/>
          <w:iCs/>
          <w:color w:val="000000"/>
          <w:sz w:val="18"/>
          <w:szCs w:val="18"/>
        </w:rPr>
        <w:t>;</w:t>
      </w:r>
    </w:p>
    <w:p>
      <w:pPr>
        <w:jc w:val="both"/>
        <w:rPr>
          <w:rFonts w:ascii="Arial" w:hAnsi="Arial" w:cs="Arial"/>
          <w:b w:val="0"/>
          <w:bCs w:val="0"/>
          <w:i/>
          <w:iCs/>
          <w:color w:val="000000"/>
          <w:sz w:val="18"/>
          <w:szCs w:val="18"/>
        </w:rPr>
      </w:pPr>
      <w:r>
        <w:rPr>
          <w:rFonts w:ascii="Arial" w:hAnsi="Arial" w:cs="Arial"/>
          <w:b w:val="0"/>
          <w:bCs w:val="0"/>
          <w:i/>
          <w:iCs/>
          <w:color w:val="000000"/>
          <w:sz w:val="18"/>
          <w:szCs w:val="18"/>
        </w:rPr>
        <w:t>c) Decreto de autorização, em se tratando de empresa ou sociedade estrangeira em funcionamento no País, e ato de registro ou autorização para funcionamento expedido pelo órgão competente, quando a atividade assim o exigir.</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hint="default" w:ascii="Arial" w:hAnsi="Arial" w:cs="Arial"/>
          <w:i/>
          <w:iCs/>
          <w:sz w:val="18"/>
          <w:szCs w:val="18"/>
          <w:lang w:val="pt-BR"/>
        </w:rPr>
      </w:pP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b/>
          <w:bCs/>
          <w:i/>
          <w:iCs/>
          <w:sz w:val="18"/>
          <w:szCs w:val="18"/>
        </w:rPr>
      </w:pPr>
      <w:r>
        <w:rPr>
          <w:rFonts w:hint="default" w:ascii="Arial" w:hAnsi="Arial" w:cs="Arial"/>
          <w:b/>
          <w:bCs/>
          <w:i/>
          <w:iCs/>
          <w:sz w:val="18"/>
          <w:szCs w:val="18"/>
          <w:lang w:val="pt-BR"/>
        </w:rPr>
        <w:t>5</w:t>
      </w:r>
      <w:r>
        <w:rPr>
          <w:rFonts w:ascii="Arial" w:hAnsi="Arial" w:cs="Arial"/>
          <w:b/>
          <w:bCs/>
          <w:i/>
          <w:iCs/>
          <w:sz w:val="18"/>
          <w:szCs w:val="18"/>
        </w:rPr>
        <w:t>.2 – Regularidade Fiscal</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a)Prova de inscrição no Cadastro Nacional de Pessoas Jurídicas (CNPJ/MF);</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b)Prova de inscrição no Cadastro de Contribuintes do Estado ou Município, se houver, relativo ao domicílio ou sede do licitante pertinente ao seu ramo de atividade;</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c)Certidão Conjunta Negativa de Dívida Ativa com a União expedida pela Procuradoria da Fazenda Nacional e prova de regularidade relativa à Seguridade Social, demonstrando situação regular no cumprimento dos encargos sociais instituídos por Lei;</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d)Certidão Negativa de débitos Estadual e Municipal, sendo a última do domicílio ou sede do licitante;</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e)Prova de regularidade junto ao Fundo de Garantia por Tempo de Serviço (FGTS);</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ascii="Arial" w:hAnsi="Arial" w:cs="Arial"/>
          <w:i/>
          <w:iCs/>
          <w:sz w:val="18"/>
          <w:szCs w:val="18"/>
        </w:rPr>
        <w:t>f) Certidão Negativa de Débitos Trabalhistas, expedida pela Justiça do Trabalho.</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b/>
          <w:bCs/>
          <w:i/>
          <w:iCs/>
          <w:sz w:val="18"/>
          <w:szCs w:val="18"/>
        </w:rPr>
      </w:pPr>
      <w:r>
        <w:rPr>
          <w:rFonts w:hint="default" w:ascii="Arial" w:hAnsi="Arial" w:cs="Arial"/>
          <w:b/>
          <w:bCs/>
          <w:i/>
          <w:iCs/>
          <w:sz w:val="18"/>
          <w:szCs w:val="18"/>
          <w:lang w:val="pt-BR"/>
        </w:rPr>
        <w:t>5</w:t>
      </w:r>
      <w:r>
        <w:rPr>
          <w:rFonts w:ascii="Arial" w:hAnsi="Arial" w:cs="Arial"/>
          <w:b/>
          <w:bCs/>
          <w:i/>
          <w:iCs/>
          <w:sz w:val="18"/>
          <w:szCs w:val="18"/>
        </w:rPr>
        <w:t>.</w:t>
      </w:r>
      <w:r>
        <w:rPr>
          <w:rFonts w:hint="default" w:ascii="Arial" w:hAnsi="Arial" w:cs="Arial"/>
          <w:b/>
          <w:bCs/>
          <w:i/>
          <w:iCs/>
          <w:sz w:val="18"/>
          <w:szCs w:val="18"/>
          <w:lang w:val="pt-BR"/>
        </w:rPr>
        <w:t>3</w:t>
      </w:r>
      <w:r>
        <w:rPr>
          <w:rFonts w:ascii="Arial" w:hAnsi="Arial" w:cs="Arial"/>
          <w:b/>
          <w:bCs/>
          <w:i/>
          <w:iCs/>
          <w:sz w:val="18"/>
          <w:szCs w:val="18"/>
        </w:rPr>
        <w:t xml:space="preserve"> – Qualificação Econômico-Financeira:</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r>
        <w:rPr>
          <w:rFonts w:hint="default" w:ascii="Arial" w:hAnsi="Arial" w:cs="Arial"/>
          <w:b/>
          <w:bCs/>
          <w:i/>
          <w:iCs/>
          <w:sz w:val="18"/>
          <w:szCs w:val="18"/>
          <w:lang w:val="pt-BR"/>
        </w:rPr>
        <w:t xml:space="preserve">a) </w:t>
      </w:r>
      <w:r>
        <w:rPr>
          <w:rFonts w:ascii="Arial" w:hAnsi="Arial" w:cs="Arial"/>
          <w:i/>
          <w:iCs/>
          <w:sz w:val="18"/>
          <w:szCs w:val="18"/>
        </w:rPr>
        <w:t>Certidão Negativa de Falência, expedida pelo distribuidor da sede da pessoa jurídica, com prazo não superior a sessenta (60) dias, contados da data de cadastro.</w:t>
      </w: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ascii="Arial" w:hAnsi="Arial" w:cs="Arial"/>
          <w:i/>
          <w:iCs/>
          <w:sz w:val="18"/>
          <w:szCs w:val="18"/>
        </w:rPr>
      </w:pPr>
    </w:p>
    <w:p>
      <w:pPr>
        <w:pStyle w:val="7"/>
        <w:keepNext w:val="0"/>
        <w:keepLines w:val="0"/>
        <w:pageBreakBefore w:val="0"/>
        <w:kinsoku/>
        <w:wordWrap/>
        <w:overflowPunct/>
        <w:topLinePunct w:val="0"/>
        <w:bidi w:val="0"/>
        <w:adjustRightInd/>
        <w:snapToGrid/>
        <w:spacing w:before="0" w:beforeAutospacing="0" w:after="0" w:afterAutospacing="0"/>
        <w:ind w:left="0"/>
        <w:jc w:val="both"/>
        <w:rPr>
          <w:rFonts w:hint="default" w:ascii="Arial" w:hAnsi="Arial" w:cs="Arial"/>
          <w:b/>
          <w:bCs/>
          <w:i/>
          <w:iCs/>
          <w:sz w:val="18"/>
          <w:szCs w:val="18"/>
          <w:lang w:val="pt-BR"/>
        </w:rPr>
      </w:pPr>
      <w:r>
        <w:rPr>
          <w:rFonts w:hint="default" w:ascii="Arial" w:hAnsi="Arial" w:cs="Arial"/>
          <w:b/>
          <w:bCs/>
          <w:i/>
          <w:iCs/>
          <w:sz w:val="18"/>
          <w:szCs w:val="18"/>
          <w:lang w:val="pt-BR"/>
        </w:rPr>
        <w:t>5.4 - Capacidade técnica</w:t>
      </w:r>
    </w:p>
    <w:p>
      <w:pPr>
        <w:pStyle w:val="7"/>
        <w:spacing w:before="0" w:beforeAutospacing="0" w:after="0" w:afterAutospacing="0"/>
        <w:jc w:val="both"/>
        <w:rPr>
          <w:rFonts w:ascii="Arial" w:hAnsi="Arial" w:cs="Arial"/>
          <w:i/>
          <w:iCs/>
          <w:sz w:val="18"/>
          <w:szCs w:val="18"/>
        </w:rPr>
      </w:pPr>
      <w:r>
        <w:rPr>
          <w:rFonts w:hint="default" w:ascii="Arial" w:hAnsi="Arial" w:cs="Arial"/>
          <w:i/>
          <w:iCs/>
          <w:sz w:val="18"/>
          <w:szCs w:val="18"/>
          <w:lang w:val="pt-BR"/>
        </w:rPr>
        <w:t xml:space="preserve">a) </w:t>
      </w:r>
      <w:r>
        <w:rPr>
          <w:rFonts w:ascii="Arial" w:hAnsi="Arial" w:cs="Arial"/>
          <w:i/>
          <w:iCs/>
          <w:sz w:val="18"/>
          <w:szCs w:val="18"/>
        </w:rPr>
        <w:t xml:space="preserve">Comprovação de capacidade técnica operacional, mediante apresentação de atestado de capacidade técnica da proponente, fornecido por pessoa jurídica de direito público ou privado, que comprove aptidão para desempenho de atividade pertinente e compatível em características, quantidades e prazos com o objeto da licitação, que atenda no mínimo </w:t>
      </w:r>
      <w:r>
        <w:rPr>
          <w:rFonts w:hint="default" w:ascii="Arial" w:hAnsi="Arial" w:cs="Arial"/>
          <w:i/>
          <w:iCs/>
          <w:sz w:val="18"/>
          <w:szCs w:val="18"/>
          <w:lang w:val="pt-BR"/>
        </w:rPr>
        <w:t>5</w:t>
      </w:r>
      <w:r>
        <w:rPr>
          <w:rFonts w:ascii="Arial" w:hAnsi="Arial" w:cs="Arial"/>
          <w:i/>
          <w:iCs/>
          <w:sz w:val="18"/>
          <w:szCs w:val="18"/>
        </w:rPr>
        <w:t>0 contratos mensais. O referido atestado deverá comprovar a execução de serviços de características iguais ou semelhantes, de complexidade operacional e intelectual equivalente ou superior e de forma satisfatória.</w:t>
      </w:r>
    </w:p>
    <w:p>
      <w:pPr>
        <w:pStyle w:val="7"/>
        <w:numPr>
          <w:ilvl w:val="0"/>
          <w:numId w:val="0"/>
        </w:numPr>
        <w:spacing w:before="0" w:beforeAutospacing="0" w:after="0" w:afterAutospacing="0"/>
        <w:ind w:leftChars="0"/>
        <w:jc w:val="both"/>
        <w:rPr>
          <w:rFonts w:ascii="Arial" w:hAnsi="Arial" w:cs="Arial"/>
          <w:sz w:val="18"/>
          <w:szCs w:val="18"/>
          <w:highlight w:val="yellow"/>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bookmarkStart w:id="3" w:name="art6xxiiig"/>
      <w:bookmarkEnd w:id="3"/>
      <w:r>
        <w:rPr>
          <w:rFonts w:hint="default" w:ascii="Arial" w:hAnsi="Arial" w:cs="Arial"/>
          <w:b/>
          <w:bCs/>
          <w:highlight w:val="none"/>
          <w:lang w:val="pt-BR"/>
        </w:rPr>
        <w:t>Medição e pagamento:</w:t>
      </w:r>
    </w:p>
    <w:p>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i/>
          <w:iCs/>
          <w:color w:val="000000"/>
          <w:sz w:val="18"/>
          <w:szCs w:val="18"/>
          <w:shd w:val="clear" w:color="auto" w:fill="FFFFFF"/>
        </w:rPr>
      </w:pPr>
      <w:r>
        <w:rPr>
          <w:rFonts w:ascii="Arial" w:hAnsi="Arial" w:cs="Arial"/>
          <w:i/>
          <w:iCs/>
          <w:color w:val="000000"/>
          <w:sz w:val="18"/>
          <w:szCs w:val="18"/>
          <w:shd w:val="clear" w:color="auto" w:fill="FFFFFF"/>
        </w:rPr>
        <w:t>Os pagamentos serão efetuados diretamente pelo Município para o licitante vencedor, conforme execução dos serviços, estipuladas nas ordens de serviços e notas de empenho emitidos, em até 07 (sete) dias da entrega da documentação solicitada:</w:t>
      </w:r>
    </w:p>
    <w:p>
      <w:pPr>
        <w:pStyle w:val="6"/>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i/>
          <w:iCs/>
          <w:color w:val="000000"/>
          <w:sz w:val="18"/>
          <w:szCs w:val="18"/>
          <w:shd w:val="clear" w:color="auto" w:fill="FFFFFF"/>
        </w:rPr>
      </w:pPr>
      <w:r>
        <w:rPr>
          <w:rFonts w:ascii="Arial" w:hAnsi="Arial" w:cs="Arial"/>
          <w:i/>
          <w:iCs/>
          <w:color w:val="000000"/>
          <w:sz w:val="18"/>
          <w:szCs w:val="18"/>
          <w:shd w:val="clear" w:color="auto" w:fill="FFFFFF"/>
        </w:rPr>
        <w:t>- notas fiscais;</w:t>
      </w:r>
    </w:p>
    <w:p>
      <w:pPr>
        <w:pStyle w:val="6"/>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i/>
          <w:iCs/>
          <w:color w:val="000000"/>
          <w:sz w:val="18"/>
          <w:szCs w:val="18"/>
          <w:shd w:val="clear" w:color="auto" w:fill="FFFFFF"/>
        </w:rPr>
      </w:pPr>
      <w:r>
        <w:rPr>
          <w:rFonts w:ascii="Arial" w:hAnsi="Arial" w:cs="Arial"/>
          <w:i/>
          <w:iCs/>
          <w:color w:val="000000"/>
          <w:sz w:val="18"/>
          <w:szCs w:val="18"/>
          <w:shd w:val="clear" w:color="auto" w:fill="FFFFFF"/>
        </w:rPr>
        <w:t>- relatórios da execução dos serviços onde devem constar os dados dos indivíduos atendidos (nome completo e CPF), a data;</w:t>
      </w:r>
    </w:p>
    <w:p>
      <w:pPr>
        <w:pStyle w:val="6"/>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i/>
          <w:iCs/>
          <w:sz w:val="18"/>
          <w:szCs w:val="18"/>
        </w:rPr>
      </w:pPr>
      <w:r>
        <w:rPr>
          <w:rFonts w:ascii="Arial" w:hAnsi="Arial" w:cs="Arial"/>
          <w:i/>
          <w:iCs/>
          <w:color w:val="000000"/>
          <w:sz w:val="18"/>
          <w:szCs w:val="18"/>
          <w:shd w:val="clear" w:color="auto" w:fill="FFFFFF"/>
        </w:rPr>
        <w:t>- CNDs Federal, Estadual, Municipal, FGTS, trabalhista e GFIP.</w:t>
      </w:r>
    </w:p>
    <w:p>
      <w:pPr>
        <w:pStyle w:val="7"/>
        <w:numPr>
          <w:ilvl w:val="0"/>
          <w:numId w:val="0"/>
        </w:numPr>
        <w:spacing w:before="0" w:beforeAutospacing="0" w:after="0" w:afterAutospacing="0"/>
        <w:ind w:leftChars="0"/>
        <w:jc w:val="both"/>
        <w:rPr>
          <w:rFonts w:ascii="Arial" w:hAnsi="Arial" w:cs="Arial"/>
          <w:sz w:val="18"/>
          <w:szCs w:val="18"/>
          <w:highlight w:val="none"/>
        </w:rPr>
      </w:pPr>
    </w:p>
    <w:p>
      <w:pPr>
        <w:pStyle w:val="7"/>
        <w:numPr>
          <w:ilvl w:val="0"/>
          <w:numId w:val="2"/>
        </w:numPr>
        <w:spacing w:before="0" w:beforeAutospacing="0" w:after="0" w:afterAutospacing="0"/>
        <w:ind w:left="0" w:leftChars="0" w:firstLine="0" w:firstLineChars="0"/>
        <w:jc w:val="both"/>
        <w:rPr>
          <w:rFonts w:ascii="Arial" w:hAnsi="Arial" w:cs="Arial"/>
          <w:b/>
          <w:bCs/>
          <w:highlight w:val="none"/>
        </w:rPr>
      </w:pPr>
      <w:r>
        <w:rPr>
          <w:rFonts w:hint="default" w:ascii="Arial" w:hAnsi="Arial" w:cs="Arial"/>
          <w:b/>
          <w:bCs/>
          <w:highlight w:val="none"/>
          <w:lang w:val="pt-BR"/>
        </w:rPr>
        <w:t>Forma e critérios de seleção:</w:t>
      </w:r>
    </w:p>
    <w:p>
      <w:pPr>
        <w:pStyle w:val="7"/>
        <w:numPr>
          <w:ilvl w:val="0"/>
          <w:numId w:val="0"/>
        </w:numPr>
        <w:spacing w:before="0" w:beforeAutospacing="0" w:after="0" w:afterAutospacing="0"/>
        <w:ind w:leftChars="0"/>
        <w:jc w:val="both"/>
        <w:rPr>
          <w:rFonts w:hint="default" w:ascii="Arial" w:hAnsi="Arial" w:cs="Arial"/>
          <w:i/>
          <w:iCs/>
          <w:sz w:val="18"/>
          <w:szCs w:val="18"/>
          <w:highlight w:val="none"/>
          <w:u w:val="none"/>
          <w:lang w:val="pt-BR"/>
        </w:rPr>
      </w:pPr>
      <w:r>
        <w:rPr>
          <w:rFonts w:ascii="Arial" w:hAnsi="Arial" w:cs="Arial"/>
          <w:i/>
          <w:iCs/>
          <w:sz w:val="18"/>
          <w:szCs w:val="18"/>
          <w:highlight w:val="none"/>
          <w:u w:val="none"/>
        </w:rPr>
        <w:t>De</w:t>
      </w:r>
      <w:r>
        <w:rPr>
          <w:rFonts w:hint="default" w:ascii="Arial" w:hAnsi="Arial" w:cs="Arial"/>
          <w:i/>
          <w:iCs/>
          <w:sz w:val="18"/>
          <w:szCs w:val="18"/>
          <w:highlight w:val="none"/>
          <w:u w:val="none"/>
          <w:lang w:val="pt-BR"/>
        </w:rPr>
        <w:t>verá ser realizado Pregão Presencial, pelo menor preço por item, com base na lei 8.666/1993.</w:t>
      </w:r>
    </w:p>
    <w:p>
      <w:pPr>
        <w:pStyle w:val="7"/>
        <w:spacing w:before="0" w:beforeAutospacing="0" w:after="0" w:afterAutospacing="0"/>
        <w:jc w:val="both"/>
        <w:rPr>
          <w:rFonts w:ascii="Arial" w:hAnsi="Arial" w:cs="Arial"/>
          <w:sz w:val="18"/>
          <w:szCs w:val="18"/>
          <w:highlight w:val="yellow"/>
        </w:rPr>
      </w:pPr>
      <w:bookmarkStart w:id="4" w:name="art6xxiii.i"/>
      <w:bookmarkEnd w:id="4"/>
    </w:p>
    <w:p>
      <w:pPr>
        <w:pStyle w:val="7"/>
        <w:numPr>
          <w:ilvl w:val="0"/>
          <w:numId w:val="0"/>
        </w:numPr>
        <w:spacing w:before="0" w:beforeAutospacing="0" w:after="0" w:afterAutospacing="0"/>
        <w:ind w:leftChars="0"/>
        <w:jc w:val="both"/>
        <w:rPr>
          <w:rFonts w:hint="default" w:ascii="Arial" w:hAnsi="Arial" w:cs="Arial"/>
          <w:b/>
          <w:bCs/>
          <w:highlight w:val="none"/>
          <w:lang w:val="pt-BR"/>
        </w:rPr>
      </w:pPr>
      <w:r>
        <w:rPr>
          <w:rFonts w:hint="default" w:ascii="Arial" w:hAnsi="Arial" w:cs="Arial"/>
          <w:b/>
          <w:bCs/>
          <w:highlight w:val="none"/>
          <w:lang w:val="pt-BR"/>
        </w:rPr>
        <w:t>8 - Valor referência:</w:t>
      </w:r>
    </w:p>
    <w:p>
      <w:pPr>
        <w:pStyle w:val="7"/>
        <w:numPr>
          <w:ilvl w:val="0"/>
          <w:numId w:val="0"/>
        </w:numPr>
        <w:spacing w:before="0" w:beforeAutospacing="0" w:after="0" w:afterAutospacing="0"/>
        <w:ind w:leftChars="0"/>
        <w:jc w:val="both"/>
        <w:rPr>
          <w:rFonts w:hint="default" w:ascii="Arial" w:hAnsi="Arial" w:cs="Arial"/>
          <w:i/>
          <w:iCs/>
          <w:sz w:val="18"/>
          <w:szCs w:val="18"/>
          <w:highlight w:val="none"/>
          <w:u w:val="none"/>
          <w:lang w:val="pt-BR"/>
        </w:rPr>
      </w:pPr>
      <w:r>
        <w:rPr>
          <w:rFonts w:hint="default" w:ascii="Arial" w:hAnsi="Arial" w:cs="Arial"/>
          <w:i/>
          <w:iCs/>
          <w:sz w:val="18"/>
          <w:szCs w:val="18"/>
          <w:highlight w:val="none"/>
          <w:u w:val="none"/>
          <w:lang w:val="pt-BR"/>
        </w:rPr>
        <w:t>O valor de referência utilizado é com base no contrato 001/2019, pregão presencial 086/2018 e seus aditivos.</w:t>
      </w:r>
    </w:p>
    <w:p>
      <w:pPr>
        <w:pStyle w:val="7"/>
        <w:numPr>
          <w:ilvl w:val="0"/>
          <w:numId w:val="0"/>
        </w:numPr>
        <w:spacing w:before="0" w:beforeAutospacing="0" w:after="0" w:afterAutospacing="0"/>
        <w:ind w:leftChars="0"/>
        <w:jc w:val="both"/>
        <w:rPr>
          <w:rFonts w:hint="default" w:ascii="Arial" w:hAnsi="Arial" w:cs="Arial"/>
          <w:i/>
          <w:iCs/>
          <w:sz w:val="18"/>
          <w:szCs w:val="18"/>
          <w:highlight w:val="none"/>
          <w:u w:val="none"/>
          <w:lang w:val="pt-BR"/>
        </w:rPr>
      </w:pPr>
    </w:p>
    <w:p>
      <w:pPr>
        <w:pStyle w:val="7"/>
        <w:keepNext w:val="0"/>
        <w:keepLines w:val="0"/>
        <w:pageBreakBefore w:val="0"/>
        <w:numPr>
          <w:ilvl w:val="0"/>
          <w:numId w:val="0"/>
        </w:numPr>
        <w:kinsoku/>
        <w:wordWrap/>
        <w:overflowPunct/>
        <w:topLinePunct w:val="0"/>
        <w:bidi w:val="0"/>
        <w:adjustRightInd/>
        <w:snapToGrid/>
        <w:spacing w:before="0" w:beforeAutospacing="0" w:after="0" w:afterAutospacing="0"/>
        <w:ind w:leftChars="0"/>
        <w:jc w:val="both"/>
        <w:textAlignment w:val="auto"/>
        <w:rPr>
          <w:rFonts w:hint="default" w:ascii="Arial" w:hAnsi="Arial" w:cs="Arial"/>
          <w:b/>
          <w:bCs/>
          <w:highlight w:val="none"/>
          <w:lang w:val="en-US"/>
        </w:rPr>
      </w:pPr>
      <w:bookmarkStart w:id="5" w:name="art6xxiiij"/>
      <w:bookmarkEnd w:id="5"/>
      <w:r>
        <w:rPr>
          <w:rFonts w:hint="default" w:ascii="Arial" w:hAnsi="Arial" w:cs="Arial"/>
          <w:b/>
          <w:bCs/>
          <w:highlight w:val="none"/>
          <w:lang w:val="pt-BR"/>
        </w:rPr>
        <w:t>9 - Previsão orçamentária:</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jc w:val="both"/>
        <w:textAlignment w:val="auto"/>
        <w:rPr>
          <w:rFonts w:ascii="Arial" w:hAnsi="Arial" w:cs="Arial"/>
          <w:i/>
          <w:iCs/>
          <w:color w:val="000000"/>
          <w:kern w:val="0"/>
          <w:sz w:val="18"/>
          <w:szCs w:val="18"/>
          <w:highlight w:val="none"/>
          <w:lang w:eastAsia="pt-BR"/>
        </w:rPr>
      </w:pPr>
      <w:r>
        <w:rPr>
          <w:rFonts w:ascii="Arial" w:hAnsi="Arial" w:cs="Arial"/>
          <w:i/>
          <w:iCs/>
          <w:color w:val="000000"/>
          <w:sz w:val="18"/>
          <w:szCs w:val="18"/>
          <w:highlight w:val="none"/>
        </w:rPr>
        <w:t>2 GABINETE DO PREFEITO</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jc w:val="both"/>
        <w:textAlignment w:val="auto"/>
        <w:rPr>
          <w:rFonts w:ascii="Arial" w:hAnsi="Arial" w:cs="Arial"/>
          <w:i/>
          <w:iCs/>
          <w:color w:val="000000"/>
          <w:sz w:val="18"/>
          <w:szCs w:val="18"/>
          <w:highlight w:val="none"/>
        </w:rPr>
      </w:pPr>
      <w:r>
        <w:rPr>
          <w:rFonts w:ascii="Arial" w:hAnsi="Arial" w:cs="Arial"/>
          <w:i/>
          <w:iCs/>
          <w:color w:val="000000"/>
          <w:sz w:val="18"/>
          <w:szCs w:val="18"/>
          <w:highlight w:val="none"/>
        </w:rPr>
        <w:t>1 GABINETE DO PREFEITO E ASSESSORIA</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"callto:11.333.0002.2500"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11.333.0002.2500</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CONVENIO PROGRAMA ESTAGIOS</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(254)</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1 Livre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 </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3 - SEC. MUN. DE ADMINISTRAÇÃO E FINANÇAS</w:t>
      </w:r>
      <w:r>
        <w:rPr>
          <w:rFonts w:ascii="Arial" w:hAnsi="Arial" w:cs="Arial"/>
          <w:i/>
          <w:iCs/>
          <w:color w:val="000000"/>
          <w:sz w:val="18"/>
          <w:szCs w:val="18"/>
          <w:highlight w:val="none"/>
        </w:rPr>
        <w:br w:type="textWrapping"/>
      </w:r>
      <w:r>
        <w:rPr>
          <w:rFonts w:ascii="Arial" w:hAnsi="Arial" w:cs="Arial"/>
          <w:i/>
          <w:iCs/>
          <w:color w:val="000000"/>
          <w:sz w:val="18"/>
          <w:szCs w:val="18"/>
          <w:highlight w:val="none"/>
        </w:rPr>
        <w:t>1 ADMINISTRACAO GERAL</w:t>
      </w:r>
    </w:p>
    <w:p>
      <w:pPr>
        <w:keepNext w:val="0"/>
        <w:keepLines w:val="0"/>
        <w:pageBreakBefore w:val="0"/>
        <w:kinsoku/>
        <w:wordWrap/>
        <w:overflowPunct/>
        <w:topLinePunct w:val="0"/>
        <w:bidi w:val="0"/>
        <w:adjustRightInd/>
        <w:snapToGrid/>
        <w:spacing w:beforeAutospacing="0" w:afterAutospacing="0"/>
        <w:textAlignment w:val="auto"/>
        <w:rPr>
          <w:i/>
          <w:iCs/>
          <w:sz w:val="18"/>
          <w:szCs w:val="18"/>
          <w:highlight w:val="none"/>
        </w:rPr>
      </w:pPr>
      <w:r>
        <w:rPr>
          <w:rStyle w:val="14"/>
          <w:rFonts w:ascii="Arial" w:hAnsi="Arial" w:cs="Arial"/>
          <w:i/>
          <w:iCs/>
          <w:color w:val="005A95"/>
          <w:sz w:val="18"/>
          <w:szCs w:val="18"/>
          <w:highlight w:val="none"/>
          <w:shd w:val="clear" w:color="auto" w:fill="FFFFFF"/>
        </w:rPr>
        <w:fldChar w:fldCharType="begin"/>
      </w:r>
      <w:r>
        <w:rPr>
          <w:rStyle w:val="14"/>
          <w:rFonts w:ascii="Arial" w:hAnsi="Arial" w:cs="Arial"/>
          <w:i/>
          <w:iCs/>
          <w:color w:val="005A95"/>
          <w:sz w:val="18"/>
          <w:szCs w:val="18"/>
          <w:highlight w:val="none"/>
          <w:shd w:val="clear" w:color="auto" w:fill="FFFFFF"/>
        </w:rPr>
        <w:instrText xml:space="preserve"> HYPERLINK "callto:11.333.0003.2500" </w:instrText>
      </w:r>
      <w:r>
        <w:rPr>
          <w:rStyle w:val="14"/>
          <w:rFonts w:ascii="Arial" w:hAnsi="Arial" w:cs="Arial"/>
          <w:i/>
          <w:iCs/>
          <w:color w:val="005A95"/>
          <w:sz w:val="18"/>
          <w:szCs w:val="18"/>
          <w:highlight w:val="none"/>
          <w:shd w:val="clear" w:color="auto" w:fill="FFFFFF"/>
        </w:rPr>
        <w:fldChar w:fldCharType="separate"/>
      </w:r>
      <w:r>
        <w:rPr>
          <w:rStyle w:val="5"/>
          <w:rFonts w:ascii="Arial" w:hAnsi="Arial" w:cs="Arial"/>
          <w:i/>
          <w:iCs/>
          <w:color w:val="005A95"/>
          <w:sz w:val="18"/>
          <w:szCs w:val="18"/>
          <w:highlight w:val="none"/>
          <w:shd w:val="clear" w:color="auto" w:fill="FFFFFF"/>
        </w:rPr>
        <w:t>11.333.0003.2500</w:t>
      </w:r>
      <w:r>
        <w:rPr>
          <w:rStyle w:val="14"/>
          <w:rFonts w:ascii="Arial" w:hAnsi="Arial" w:cs="Arial"/>
          <w:i/>
          <w:iCs/>
          <w:color w:val="005A95"/>
          <w:sz w:val="18"/>
          <w:szCs w:val="18"/>
          <w:highlight w:val="none"/>
          <w:shd w:val="clear" w:color="auto" w:fill="FFFFFF"/>
        </w:rPr>
        <w:fldChar w:fldCharType="end"/>
      </w:r>
      <w:r>
        <w:rPr>
          <w:rFonts w:ascii="Arial" w:hAnsi="Arial" w:cs="Arial"/>
          <w:i/>
          <w:iCs/>
          <w:color w:val="000000"/>
          <w:sz w:val="18"/>
          <w:szCs w:val="18"/>
          <w:highlight w:val="none"/>
          <w:shd w:val="clear" w:color="auto" w:fill="FFFFFF"/>
        </w:rPr>
        <w:t> CONVENIO PROGRAMA ESTAGIOS</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(339)</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1 Livre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 </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5 - SEC. MUN. DE EDUCAÇÃO, CULT. E DESPORTO</w:t>
      </w:r>
      <w:r>
        <w:rPr>
          <w:rFonts w:ascii="Arial" w:hAnsi="Arial" w:cs="Arial"/>
          <w:i/>
          <w:iCs/>
          <w:color w:val="000000"/>
          <w:sz w:val="18"/>
          <w:szCs w:val="18"/>
          <w:highlight w:val="none"/>
        </w:rPr>
        <w:br w:type="textWrapping"/>
      </w:r>
      <w:r>
        <w:rPr>
          <w:rFonts w:ascii="Arial" w:hAnsi="Arial" w:cs="Arial"/>
          <w:i/>
          <w:iCs/>
          <w:color w:val="000000"/>
          <w:sz w:val="18"/>
          <w:szCs w:val="18"/>
          <w:highlight w:val="none"/>
        </w:rPr>
        <w:t>2 - EDUCAÇÃO BÁSICA</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"callto:12.365.0201.2514"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12.365.0201.2514</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Investir na Formação Continuada e na Valorização dos Profissionais da Educação</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(521)</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20 MDE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fldChar w:fldCharType="begin"/>
      </w:r>
      <w:r>
        <w:rPr>
          <w:rFonts w:ascii="Arial" w:hAnsi="Arial" w:cs="Arial"/>
          <w:i/>
          <w:iCs/>
          <w:color w:val="000000"/>
          <w:sz w:val="18"/>
          <w:szCs w:val="18"/>
          <w:highlight w:val="none"/>
        </w:rPr>
        <w:instrText xml:space="preserve"> HYPERLINK "callto:12.361.0261.2098" \t "_blank" </w:instrText>
      </w:r>
      <w:r>
        <w:rPr>
          <w:rFonts w:ascii="Arial" w:hAnsi="Arial" w:cs="Arial"/>
          <w:i/>
          <w:iCs/>
          <w:color w:val="000000"/>
          <w:sz w:val="18"/>
          <w:szCs w:val="18"/>
          <w:highlight w:val="none"/>
        </w:rPr>
        <w:fldChar w:fldCharType="separate"/>
      </w:r>
      <w:r>
        <w:rPr>
          <w:rStyle w:val="5"/>
          <w:rFonts w:ascii="Arial" w:hAnsi="Arial" w:cs="Arial"/>
          <w:i/>
          <w:iCs/>
          <w:color w:val="000000"/>
          <w:sz w:val="18"/>
          <w:szCs w:val="18"/>
          <w:highlight w:val="none"/>
        </w:rPr>
        <w:t>12.361.0201.2514 Investir na Formação Continuada e na Valorização dos Profissionais da Educação</w:t>
      </w:r>
      <w:r>
        <w:rPr>
          <w:rFonts w:ascii="Arial" w:hAnsi="Arial" w:cs="Arial"/>
          <w:i/>
          <w:iCs/>
          <w:color w:val="000000"/>
          <w:sz w:val="18"/>
          <w:szCs w:val="18"/>
          <w:highlight w:val="none"/>
        </w:rPr>
        <w:fldChar w:fldCharType="end"/>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(537)</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20 MDE</w:t>
      </w:r>
    </w:p>
    <w:p>
      <w:pPr>
        <w:keepNext w:val="0"/>
        <w:keepLines w:val="0"/>
        <w:pageBreakBefore w:val="0"/>
        <w:kinsoku/>
        <w:wordWrap/>
        <w:overflowPunct/>
        <w:topLinePunct w:val="0"/>
        <w:bidi w:val="0"/>
        <w:adjustRightInd/>
        <w:snapToGrid/>
        <w:spacing w:beforeAutospacing="0" w:afterAutospacing="0"/>
        <w:textAlignment w:val="auto"/>
        <w:rPr>
          <w:i/>
          <w:iCs/>
          <w:sz w:val="18"/>
          <w:szCs w:val="18"/>
          <w:highlight w:val="none"/>
        </w:rPr>
      </w:pPr>
      <w:r>
        <w:rPr>
          <w:rFonts w:ascii="Arial" w:hAnsi="Arial" w:cs="Arial"/>
          <w:i/>
          <w:iCs/>
          <w:color w:val="000000"/>
          <w:sz w:val="18"/>
          <w:szCs w:val="18"/>
          <w:highlight w:val="none"/>
          <w:shd w:val="clear" w:color="auto" w:fill="FFFFFF"/>
        </w:rPr>
        <w:t>333903900000000 OUTROS SERVICOS DE TERCEIROS-PESSOA JURI (570)</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31 FUNDEB</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 </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6 - SEC. MUN. DA AGRICULTURA E MEIO AMBIENTE</w:t>
      </w:r>
      <w:r>
        <w:rPr>
          <w:rFonts w:ascii="Arial" w:hAnsi="Arial" w:cs="Arial"/>
          <w:i/>
          <w:iCs/>
          <w:color w:val="000000"/>
          <w:sz w:val="18"/>
          <w:szCs w:val="18"/>
          <w:highlight w:val="none"/>
        </w:rPr>
        <w:br w:type="textWrapping"/>
      </w:r>
      <w:r>
        <w:rPr>
          <w:rFonts w:ascii="Arial" w:hAnsi="Arial" w:cs="Arial"/>
          <w:i/>
          <w:iCs/>
          <w:color w:val="000000"/>
          <w:sz w:val="18"/>
          <w:szCs w:val="18"/>
          <w:highlight w:val="none"/>
        </w:rPr>
        <w:t>1 - ADMINISTRACAO GERAL</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"callto:11.333.0006.2500"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11.333.0006.2500</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CONVENIO PROGRAMA ESTAGIOS</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(668)</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1 Livre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2 - DEPARTAMENTO MEIO AMBIENTE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"callto:04.122.0207.2530"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04.122.0207.2530</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Qualificar a Politica de Gestão Ambiental</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(976)</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1 Livre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7 - SEC. MUN. DA SAÚDE E ASSISTÊNCIA SOCIAL</w:t>
      </w:r>
      <w:r>
        <w:rPr>
          <w:rFonts w:ascii="Arial" w:hAnsi="Arial" w:cs="Arial"/>
          <w:i/>
          <w:iCs/>
          <w:color w:val="000000"/>
          <w:sz w:val="18"/>
          <w:szCs w:val="18"/>
          <w:highlight w:val="none"/>
        </w:rPr>
        <w:br w:type="textWrapping"/>
      </w:r>
      <w:r>
        <w:rPr>
          <w:rFonts w:ascii="Arial" w:hAnsi="Arial" w:cs="Arial"/>
          <w:i/>
          <w:iCs/>
          <w:color w:val="000000"/>
          <w:sz w:val="18"/>
          <w:szCs w:val="18"/>
          <w:highlight w:val="none"/>
        </w:rPr>
        <w:t>2 - FUNDO MUNICIPAL DA SAUDE</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"callto:10.301.0205.2099"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10.301.0205.2099</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CONVENIO COM AGENTES DE INTEGRACAO</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(701)</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40 ASPS</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 </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8 - SECRETARIA MUNICIPAL DE INFRAESTRUTURA</w:t>
      </w:r>
      <w:r>
        <w:rPr>
          <w:rFonts w:ascii="Arial" w:hAnsi="Arial" w:cs="Arial"/>
          <w:i/>
          <w:iCs/>
          <w:color w:val="000000"/>
          <w:sz w:val="18"/>
          <w:szCs w:val="18"/>
          <w:highlight w:val="none"/>
        </w:rPr>
        <w:br w:type="textWrapping"/>
      </w:r>
      <w:r>
        <w:rPr>
          <w:rFonts w:ascii="Arial" w:hAnsi="Arial" w:cs="Arial"/>
          <w:i/>
          <w:iCs/>
          <w:color w:val="000000"/>
          <w:sz w:val="18"/>
          <w:szCs w:val="18"/>
          <w:highlight w:val="none"/>
        </w:rPr>
        <w:t>1 - ADMINISTRACAO GERAL</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Style w:val="14"/>
          <w:rFonts w:ascii="Arial" w:hAnsi="Arial" w:cs="Arial"/>
          <w:i/>
          <w:iCs/>
          <w:color w:val="005A95"/>
          <w:sz w:val="18"/>
          <w:szCs w:val="18"/>
          <w:highlight w:val="none"/>
        </w:rPr>
        <w:fldChar w:fldCharType="begin"/>
      </w:r>
      <w:r>
        <w:rPr>
          <w:rStyle w:val="14"/>
          <w:rFonts w:ascii="Arial" w:hAnsi="Arial" w:cs="Arial"/>
          <w:i/>
          <w:iCs/>
          <w:color w:val="005A95"/>
          <w:sz w:val="18"/>
          <w:szCs w:val="18"/>
          <w:highlight w:val="none"/>
        </w:rPr>
        <w:instrText xml:space="preserve"> HYPERLINK "callto:04.122.0007.2039" </w:instrText>
      </w:r>
      <w:r>
        <w:rPr>
          <w:rStyle w:val="14"/>
          <w:rFonts w:ascii="Arial" w:hAnsi="Arial" w:cs="Arial"/>
          <w:i/>
          <w:iCs/>
          <w:color w:val="005A95"/>
          <w:sz w:val="18"/>
          <w:szCs w:val="18"/>
          <w:highlight w:val="none"/>
        </w:rPr>
        <w:fldChar w:fldCharType="separate"/>
      </w:r>
      <w:r>
        <w:rPr>
          <w:rStyle w:val="5"/>
          <w:rFonts w:ascii="Arial" w:hAnsi="Arial" w:cs="Arial"/>
          <w:i/>
          <w:iCs/>
          <w:color w:val="005A95"/>
          <w:sz w:val="18"/>
          <w:szCs w:val="18"/>
          <w:highlight w:val="none"/>
        </w:rPr>
        <w:t>04.122.0007.2039</w:t>
      </w:r>
      <w:r>
        <w:rPr>
          <w:rStyle w:val="14"/>
          <w:rFonts w:ascii="Arial" w:hAnsi="Arial" w:cs="Arial"/>
          <w:i/>
          <w:iCs/>
          <w:color w:val="005A95"/>
          <w:sz w:val="18"/>
          <w:szCs w:val="18"/>
          <w:highlight w:val="none"/>
        </w:rPr>
        <w:fldChar w:fldCharType="end"/>
      </w:r>
      <w:r>
        <w:rPr>
          <w:rFonts w:ascii="Arial" w:hAnsi="Arial" w:cs="Arial"/>
          <w:i/>
          <w:iCs/>
          <w:color w:val="000000"/>
          <w:sz w:val="18"/>
          <w:szCs w:val="18"/>
          <w:highlight w:val="none"/>
        </w:rPr>
        <w:t> MANUTENÇÃO SECRETARIA DE INFRAESTRUTURA</w:t>
      </w:r>
    </w:p>
    <w:p>
      <w:pPr>
        <w:pStyle w:val="7"/>
        <w:keepNext w:val="0"/>
        <w:keepLines w:val="0"/>
        <w:pageBreakBefore w:val="0"/>
        <w:shd w:val="clear" w:color="auto" w:fill="FFFFFF"/>
        <w:kinsoku/>
        <w:wordWrap/>
        <w:overflowPunct/>
        <w:topLinePunct w:val="0"/>
        <w:bidi w:val="0"/>
        <w:adjustRightInd/>
        <w:snapToGrid/>
        <w:spacing w:before="0" w:beforeAutospacing="0" w:after="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333903900000000 OUTROS SERVICOS DE TERCEIROS-PESSOA JURI (813)</w:t>
      </w:r>
    </w:p>
    <w:p>
      <w:pPr>
        <w:keepNext w:val="0"/>
        <w:keepLines w:val="0"/>
        <w:pageBreakBefore w:val="0"/>
        <w:kinsoku/>
        <w:wordWrap/>
        <w:overflowPunct/>
        <w:topLinePunct w:val="0"/>
        <w:bidi w:val="0"/>
        <w:adjustRightInd/>
        <w:snapToGrid/>
        <w:spacing w:beforeAutospacing="0" w:afterAutospacing="0"/>
        <w:textAlignment w:val="auto"/>
        <w:rPr>
          <w:rFonts w:ascii="Arial" w:hAnsi="Arial" w:cs="Arial"/>
          <w:i/>
          <w:iCs/>
          <w:color w:val="000000"/>
          <w:sz w:val="18"/>
          <w:szCs w:val="18"/>
          <w:highlight w:val="none"/>
        </w:rPr>
      </w:pPr>
      <w:r>
        <w:rPr>
          <w:rFonts w:ascii="Arial" w:hAnsi="Arial" w:cs="Arial"/>
          <w:i/>
          <w:iCs/>
          <w:color w:val="000000"/>
          <w:sz w:val="18"/>
          <w:szCs w:val="18"/>
          <w:highlight w:val="none"/>
        </w:rPr>
        <w:t>Recurso: 1 Livre</w:t>
      </w:r>
    </w:p>
    <w:p>
      <w:pPr>
        <w:pStyle w:val="7"/>
        <w:keepNext w:val="0"/>
        <w:keepLines w:val="0"/>
        <w:pageBreakBefore w:val="0"/>
        <w:numPr>
          <w:ilvl w:val="0"/>
          <w:numId w:val="0"/>
        </w:numPr>
        <w:kinsoku/>
        <w:wordWrap/>
        <w:overflowPunct/>
        <w:topLinePunct w:val="0"/>
        <w:bidi w:val="0"/>
        <w:adjustRightInd/>
        <w:snapToGrid/>
        <w:spacing w:before="0" w:beforeAutospacing="0" w:after="0" w:afterAutospacing="0"/>
        <w:ind w:leftChars="0"/>
        <w:jc w:val="both"/>
        <w:textAlignment w:val="auto"/>
        <w:rPr>
          <w:rFonts w:hint="default" w:ascii="Arial" w:hAnsi="Arial" w:cs="Arial"/>
          <w:i/>
          <w:iCs/>
          <w:sz w:val="18"/>
          <w:szCs w:val="18"/>
          <w:u w:val="single"/>
          <w:lang w:val="en-US"/>
        </w:rPr>
      </w:pPr>
    </w:p>
    <w:p>
      <w:pPr>
        <w:pStyle w:val="7"/>
        <w:numPr>
          <w:ilvl w:val="0"/>
          <w:numId w:val="0"/>
        </w:numPr>
        <w:spacing w:before="0" w:beforeAutospacing="0" w:after="0" w:afterAutospacing="0"/>
        <w:ind w:leftChars="0"/>
        <w:jc w:val="both"/>
        <w:rPr>
          <w:rFonts w:ascii="Arial" w:hAnsi="Arial" w:cs="Arial"/>
          <w:b/>
          <w:bCs/>
        </w:rPr>
      </w:pPr>
      <w:r>
        <w:rPr>
          <w:rFonts w:hint="default" w:ascii="Arial" w:hAnsi="Arial" w:cs="Arial"/>
          <w:b/>
          <w:bCs/>
          <w:lang w:val="pt-BR"/>
        </w:rPr>
        <w:t xml:space="preserve">10 - </w:t>
      </w:r>
      <w:r>
        <w:rPr>
          <w:rFonts w:ascii="Arial" w:hAnsi="Arial" w:cs="Arial"/>
          <w:b/>
          <w:bCs/>
        </w:rPr>
        <w:t xml:space="preserve">Especificação dos produtos </w:t>
      </w:r>
      <w:r>
        <w:rPr>
          <w:rFonts w:hint="default" w:ascii="Arial" w:hAnsi="Arial" w:cs="Arial"/>
          <w:b/>
          <w:bCs/>
          <w:lang w:val="pt-BR"/>
        </w:rPr>
        <w:t>e/ou serviços:</w:t>
      </w:r>
    </w:p>
    <w:p>
      <w:pPr>
        <w:pStyle w:val="7"/>
        <w:numPr>
          <w:ilvl w:val="0"/>
          <w:numId w:val="0"/>
        </w:numPr>
        <w:spacing w:before="0" w:beforeAutospacing="0" w:after="0" w:afterAutospacing="0"/>
        <w:ind w:leftChars="0"/>
        <w:jc w:val="both"/>
        <w:rPr>
          <w:rFonts w:hint="default" w:ascii="Arial" w:hAnsi="Arial" w:cs="Arial"/>
          <w:i/>
          <w:iCs/>
          <w:sz w:val="18"/>
          <w:szCs w:val="18"/>
          <w:u w:val="none"/>
          <w:lang w:val="pt-BR"/>
        </w:rPr>
      </w:pPr>
      <w:r>
        <w:rPr>
          <w:rFonts w:hint="default" w:ascii="Arial" w:hAnsi="Arial" w:cs="Arial"/>
          <w:i/>
          <w:iCs/>
          <w:sz w:val="18"/>
          <w:szCs w:val="18"/>
          <w:u w:val="none"/>
          <w:lang w:val="pt-BR"/>
        </w:rPr>
        <w:t>Conforme disposto no item 1 do presente TR.</w:t>
      </w:r>
    </w:p>
    <w:p>
      <w:pPr>
        <w:pStyle w:val="7"/>
        <w:numPr>
          <w:ilvl w:val="0"/>
          <w:numId w:val="0"/>
        </w:numPr>
        <w:spacing w:before="0" w:beforeAutospacing="0" w:after="0" w:afterAutospacing="0"/>
        <w:ind w:leftChars="0"/>
        <w:jc w:val="both"/>
        <w:rPr>
          <w:rFonts w:hint="default" w:ascii="Arial" w:hAnsi="Arial" w:cs="Arial"/>
          <w:i/>
          <w:iCs/>
          <w:sz w:val="18"/>
          <w:szCs w:val="18"/>
          <w:u w:val="none"/>
          <w:lang w:val="pt-BR"/>
        </w:rPr>
      </w:pPr>
    </w:p>
    <w:p>
      <w:pPr>
        <w:pStyle w:val="7"/>
        <w:numPr>
          <w:ilvl w:val="0"/>
          <w:numId w:val="0"/>
        </w:numPr>
        <w:spacing w:before="0" w:beforeAutospacing="0" w:after="0" w:afterAutospacing="0"/>
        <w:ind w:leftChars="0"/>
        <w:jc w:val="both"/>
        <w:rPr>
          <w:rFonts w:ascii="Arial" w:hAnsi="Arial" w:cs="Arial"/>
          <w:b/>
          <w:bCs/>
        </w:rPr>
      </w:pPr>
      <w:bookmarkStart w:id="6" w:name="art40§1ii"/>
      <w:bookmarkEnd w:id="6"/>
      <w:r>
        <w:rPr>
          <w:rFonts w:hint="default" w:ascii="Arial" w:hAnsi="Arial" w:cs="Arial"/>
          <w:b/>
          <w:bCs/>
          <w:lang w:val="pt-BR"/>
        </w:rPr>
        <w:t>11 - Locais e datas de entrega dos produtos e/ou prestação dos serviços:</w:t>
      </w:r>
    </w:p>
    <w:p>
      <w:pPr>
        <w:numPr>
          <w:ilvl w:val="0"/>
          <w:numId w:val="0"/>
        </w:numPr>
        <w:ind w:leftChars="0"/>
        <w:jc w:val="both"/>
        <w:rPr>
          <w:rFonts w:ascii="Arial" w:hAnsi="Arial" w:cs="Arial"/>
          <w:b w:val="0"/>
          <w:bCs/>
          <w:i/>
          <w:iCs/>
          <w:color w:val="000000"/>
          <w:sz w:val="18"/>
          <w:szCs w:val="18"/>
        </w:rPr>
      </w:pPr>
      <w:r>
        <w:rPr>
          <w:rFonts w:hint="default" w:ascii="Arial" w:hAnsi="Arial" w:cs="Arial"/>
          <w:b w:val="0"/>
          <w:bCs/>
          <w:i/>
          <w:iCs/>
          <w:color w:val="000000"/>
          <w:sz w:val="18"/>
          <w:szCs w:val="18"/>
          <w:lang w:val="pt-BR"/>
        </w:rPr>
        <w:t xml:space="preserve">13.1 </w:t>
      </w:r>
      <w:r>
        <w:rPr>
          <w:rFonts w:ascii="Arial" w:hAnsi="Arial" w:cs="Arial"/>
          <w:b w:val="0"/>
          <w:bCs/>
          <w:i/>
          <w:iCs/>
          <w:color w:val="000000"/>
          <w:sz w:val="18"/>
          <w:szCs w:val="18"/>
        </w:rPr>
        <w:t>A empresa deverá realizar visitas quinzenais</w:t>
      </w:r>
      <w:r>
        <w:rPr>
          <w:rFonts w:hint="default" w:ascii="Arial" w:hAnsi="Arial" w:cs="Arial"/>
          <w:b w:val="0"/>
          <w:bCs/>
          <w:i/>
          <w:iCs/>
          <w:color w:val="000000"/>
          <w:sz w:val="18"/>
          <w:szCs w:val="18"/>
          <w:lang w:val="pt-BR"/>
        </w:rPr>
        <w:t xml:space="preserve"> presenciais</w:t>
      </w:r>
      <w:r>
        <w:rPr>
          <w:rFonts w:ascii="Arial" w:hAnsi="Arial" w:cs="Arial"/>
          <w:b w:val="0"/>
          <w:bCs/>
          <w:i/>
          <w:iCs/>
          <w:color w:val="000000"/>
          <w:sz w:val="18"/>
          <w:szCs w:val="18"/>
        </w:rPr>
        <w:t xml:space="preserve"> </w:t>
      </w:r>
      <w:r>
        <w:rPr>
          <w:rFonts w:hint="default" w:ascii="Arial" w:hAnsi="Arial" w:cs="Arial"/>
          <w:b w:val="0"/>
          <w:bCs/>
          <w:i/>
          <w:iCs/>
          <w:color w:val="000000"/>
          <w:sz w:val="18"/>
          <w:szCs w:val="18"/>
          <w:lang w:val="pt-BR"/>
        </w:rPr>
        <w:t>n</w:t>
      </w:r>
      <w:r>
        <w:rPr>
          <w:rFonts w:ascii="Arial" w:hAnsi="Arial" w:cs="Arial"/>
          <w:b w:val="0"/>
          <w:bCs/>
          <w:i/>
          <w:iCs/>
          <w:color w:val="000000"/>
          <w:sz w:val="18"/>
          <w:szCs w:val="18"/>
        </w:rPr>
        <w:t xml:space="preserve">a sede da prefeitura municipal, Av. Guilherme Winter, 65, Centro de Bom Princípio/RS, com vistas a coleta de documentação e </w:t>
      </w:r>
      <w:r>
        <w:rPr>
          <w:rFonts w:ascii="Arial" w:hAnsi="Arial" w:cs="Arial"/>
          <w:b/>
          <w:i/>
          <w:iCs/>
          <w:color w:val="000000"/>
          <w:sz w:val="18"/>
          <w:szCs w:val="18"/>
        </w:rPr>
        <w:t xml:space="preserve">orientação </w:t>
      </w:r>
      <w:r>
        <w:rPr>
          <w:rFonts w:ascii="Arial" w:hAnsi="Arial" w:cs="Arial"/>
          <w:b w:val="0"/>
          <w:bCs/>
          <w:i/>
          <w:iCs/>
          <w:color w:val="000000"/>
          <w:sz w:val="18"/>
          <w:szCs w:val="18"/>
        </w:rPr>
        <w:t>aos estagiários.</w:t>
      </w:r>
    </w:p>
    <w:p>
      <w:pPr>
        <w:numPr>
          <w:ilvl w:val="0"/>
          <w:numId w:val="0"/>
        </w:numPr>
        <w:jc w:val="both"/>
        <w:rPr>
          <w:rFonts w:ascii="Arial" w:hAnsi="Arial" w:cs="Arial"/>
          <w:b w:val="0"/>
          <w:bCs/>
          <w:i/>
          <w:iCs/>
          <w:color w:val="000000"/>
          <w:sz w:val="22"/>
          <w:szCs w:val="22"/>
          <w:shd w:val="clear" w:color="auto" w:fill="FFFF00"/>
        </w:rPr>
      </w:pPr>
      <w:r>
        <w:rPr>
          <w:rFonts w:hint="default" w:ascii="Arial" w:hAnsi="Arial" w:cs="Arial"/>
          <w:b w:val="0"/>
          <w:bCs/>
          <w:i/>
          <w:iCs/>
          <w:color w:val="000000"/>
          <w:sz w:val="18"/>
          <w:szCs w:val="18"/>
          <w:lang w:val="pt-BR"/>
        </w:rPr>
        <w:t xml:space="preserve">13.2 </w:t>
      </w:r>
      <w:r>
        <w:rPr>
          <w:rFonts w:ascii="Arial" w:hAnsi="Arial" w:cs="Arial"/>
          <w:b w:val="0"/>
          <w:bCs/>
          <w:i/>
          <w:iCs/>
          <w:color w:val="000000"/>
          <w:sz w:val="18"/>
          <w:szCs w:val="18"/>
        </w:rPr>
        <w:t>A prestação dos serviços ocorrerá mensalmente, devendo a empresa prestar os serviços nas quantidades estipuladas pela Secretaria Municipal de Educação, Cultura e Desporto.</w:t>
      </w:r>
    </w:p>
    <w:p>
      <w:pPr>
        <w:pStyle w:val="7"/>
        <w:numPr>
          <w:ilvl w:val="0"/>
          <w:numId w:val="0"/>
        </w:numPr>
        <w:spacing w:before="0" w:beforeAutospacing="0" w:after="0" w:afterAutospacing="0"/>
        <w:ind w:leftChars="0"/>
        <w:jc w:val="both"/>
        <w:rPr>
          <w:rFonts w:ascii="Arial" w:hAnsi="Arial" w:cs="Arial"/>
          <w:i/>
          <w:iCs/>
          <w:sz w:val="18"/>
          <w:szCs w:val="18"/>
        </w:rPr>
      </w:pPr>
    </w:p>
    <w:p>
      <w:pPr>
        <w:pStyle w:val="7"/>
        <w:numPr>
          <w:ilvl w:val="0"/>
          <w:numId w:val="0"/>
        </w:numPr>
        <w:spacing w:before="0" w:beforeAutospacing="0" w:after="0" w:afterAutospacing="0"/>
        <w:jc w:val="both"/>
        <w:rPr>
          <w:rFonts w:ascii="Arial" w:hAnsi="Arial" w:cs="Arial"/>
          <w:b/>
          <w:bCs/>
        </w:rPr>
      </w:pPr>
      <w:r>
        <w:rPr>
          <w:rFonts w:hint="default" w:ascii="Arial" w:hAnsi="Arial" w:cs="Arial"/>
          <w:b/>
          <w:bCs/>
          <w:lang w:val="pt-BR"/>
        </w:rPr>
        <w:t>12 - Servidor responsável (fiscal):</w:t>
      </w:r>
    </w:p>
    <w:p>
      <w:pPr>
        <w:pStyle w:val="7"/>
        <w:numPr>
          <w:ilvl w:val="0"/>
          <w:numId w:val="0"/>
        </w:numPr>
        <w:spacing w:before="0" w:beforeAutospacing="0" w:after="0" w:afterAutospacing="0"/>
        <w:ind w:leftChars="0"/>
        <w:jc w:val="both"/>
        <w:rPr>
          <w:rFonts w:hint="default" w:ascii="Arial" w:hAnsi="Arial" w:cs="Arial"/>
          <w:i/>
          <w:iCs/>
          <w:sz w:val="18"/>
          <w:szCs w:val="18"/>
          <w:shd w:val="clear" w:color="auto" w:fill="FFFFFF"/>
          <w:lang w:val="pt-BR"/>
        </w:rPr>
      </w:pPr>
      <w:bookmarkStart w:id="7" w:name="art40§1iii"/>
      <w:bookmarkEnd w:id="7"/>
      <w:r>
        <w:rPr>
          <w:rFonts w:hint="default" w:ascii="Arial" w:hAnsi="Arial" w:cs="Arial"/>
          <w:i/>
          <w:iCs/>
          <w:sz w:val="18"/>
          <w:szCs w:val="18"/>
          <w:shd w:val="clear" w:color="auto" w:fill="FFFFFF"/>
          <w:lang w:val="pt-BR"/>
        </w:rPr>
        <w:t>Ingrid Schuh Winter</w:t>
      </w:r>
    </w:p>
    <w:p>
      <w:bookmarkStart w:id="8" w:name="_GoBack"/>
      <w:bookmarkEnd w:id="8"/>
    </w:p>
    <w:p>
      <w:pPr>
        <w:jc w:val="right"/>
      </w:pPr>
    </w:p>
    <w:p>
      <w:pPr>
        <w:jc w:val="right"/>
      </w:pPr>
    </w:p>
    <w:p>
      <w:pPr>
        <w:jc w:val="right"/>
      </w:pPr>
    </w:p>
    <w:p>
      <w:pPr>
        <w:jc w:val="right"/>
        <w:rPr>
          <w:rFonts w:hint="default"/>
          <w:lang w:val="pt-BR"/>
        </w:rPr>
      </w:pPr>
      <w:r>
        <w:rPr>
          <w:rFonts w:hint="default"/>
          <w:lang w:val="pt-BR"/>
        </w:rPr>
        <w:t>Bom Princípio, 08 de dezembro de 2023.</w:t>
      </w: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p>
    <w:p>
      <w:pPr>
        <w:jc w:val="right"/>
        <w:rPr>
          <w:rFonts w:hint="default"/>
          <w:lang w:val="pt-BR"/>
        </w:rPr>
      </w:pPr>
      <w:r>
        <w:rPr>
          <w:rFonts w:hint="default"/>
          <w:lang w:val="pt-BR"/>
        </w:rPr>
        <w:t>______________________________</w:t>
      </w:r>
    </w:p>
    <w:p>
      <w:pPr>
        <w:jc w:val="right"/>
        <w:rPr>
          <w:rFonts w:hint="default"/>
          <w:lang w:val="pt-BR"/>
        </w:rPr>
      </w:pPr>
      <w:r>
        <w:rPr>
          <w:rFonts w:hint="default"/>
          <w:lang w:val="pt-BR"/>
        </w:rPr>
        <w:t>Vanessa Fribel de Quadros Steffen</w:t>
      </w:r>
    </w:p>
    <w:p>
      <w:pPr>
        <w:wordWrap w:val="0"/>
        <w:jc w:val="right"/>
        <w:rPr>
          <w:rFonts w:hint="default"/>
          <w:lang w:val="pt-BR"/>
        </w:rPr>
      </w:pPr>
      <w:r>
        <w:rPr>
          <w:rFonts w:hint="default"/>
          <w:lang w:val="pt-BR"/>
        </w:rPr>
        <w:t>Secretária da Educação, Cultura e Desporto</w:t>
      </w:r>
    </w:p>
    <w:sectPr>
      <w:headerReference r:id="rId5" w:type="default"/>
      <w:footerReference r:id="rId6" w:type="default"/>
      <w:pgSz w:w="11910" w:h="16850"/>
      <w:pgMar w:top="1740" w:right="740" w:bottom="680" w:left="1600" w:header="587" w:footer="4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drawing>
        <wp:inline distT="0" distB="0" distL="0" distR="0">
          <wp:extent cx="889000" cy="11049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a:xfrm>
                    <a:off x="0" y="0"/>
                    <a:ext cx="889000" cy="1104900"/>
                  </a:xfrm>
                  <a:prstGeom prst="rect">
                    <a:avLst/>
                  </a:prstGeom>
                  <a:noFill/>
                  <a:ln w="9525">
                    <a:noFill/>
                    <a:miter lim="800000"/>
                    <a:headEnd/>
                    <a:tailEnd/>
                  </a:ln>
                </pic:spPr>
              </pic:pic>
            </a:graphicData>
          </a:graphic>
        </wp:inline>
      </w:drawing>
    </w:r>
  </w:p>
  <w:p>
    <w:pPr>
      <w:pStyle w:val="12"/>
      <w:jc w:val="center"/>
      <w:rPr>
        <w:rFonts w:ascii="Arial" w:hAnsi="Arial" w:cs="Arial"/>
        <w:sz w:val="32"/>
      </w:rPr>
    </w:pPr>
    <w:r>
      <w:rPr>
        <w:rFonts w:ascii="Arial" w:hAnsi="Arial" w:cs="Arial"/>
        <w:sz w:val="32"/>
      </w:rPr>
      <w:t>MUNICÍPIO DE BOM PRINCÍPIO</w:t>
    </w:r>
  </w:p>
  <w:p>
    <w:pPr>
      <w:pStyle w:val="12"/>
      <w:jc w:val="center"/>
      <w:rPr>
        <w:rFonts w:ascii="Arial" w:hAnsi="Arial" w:cs="Arial"/>
        <w:sz w:val="28"/>
      </w:rPr>
    </w:pPr>
    <w:r>
      <w:rPr>
        <w:rFonts w:ascii="Arial" w:hAnsi="Arial" w:cs="Arial"/>
        <w:sz w:val="28"/>
      </w:rPr>
      <w:t>Estado do Rio Grande do Sul</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928F3"/>
    <w:multiLevelType w:val="singleLevel"/>
    <w:tmpl w:val="9F0928F3"/>
    <w:lvl w:ilvl="0" w:tentative="0">
      <w:start w:val="3"/>
      <w:numFmt w:val="decimal"/>
      <w:suff w:val="space"/>
      <w:lvlText w:val="%1-"/>
      <w:lvlJc w:val="left"/>
    </w:lvl>
  </w:abstractNum>
  <w:abstractNum w:abstractNumId="1">
    <w:nsid w:val="0D152D71"/>
    <w:multiLevelType w:val="multilevel"/>
    <w:tmpl w:val="0D152D7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D1"/>
    <w:rsid w:val="00081F85"/>
    <w:rsid w:val="00182F1B"/>
    <w:rsid w:val="00A262D1"/>
    <w:rsid w:val="00D566CB"/>
    <w:rsid w:val="092B258A"/>
    <w:rsid w:val="0EAB594B"/>
    <w:rsid w:val="100E1970"/>
    <w:rsid w:val="1BD62A29"/>
    <w:rsid w:val="2594487D"/>
    <w:rsid w:val="28A97D81"/>
    <w:rsid w:val="2AF9305B"/>
    <w:rsid w:val="2CF77C07"/>
    <w:rsid w:val="2D020066"/>
    <w:rsid w:val="3A056A92"/>
    <w:rsid w:val="4CA67311"/>
    <w:rsid w:val="5FE72892"/>
    <w:rsid w:val="6148610C"/>
    <w:rsid w:val="6CF15556"/>
    <w:rsid w:val="6ED65C7A"/>
    <w:rsid w:val="71240ED0"/>
    <w:rsid w:val="79C634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spacing w:after="0" w:line="240" w:lineRule="auto"/>
    </w:pPr>
    <w:rPr>
      <w:rFonts w:ascii="Tahoma" w:hAnsi="Tahoma" w:eastAsia="Tahoma" w:cs="Tahoma"/>
      <w:sz w:val="22"/>
      <w:szCs w:val="22"/>
      <w:lang w:val="pt-P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semiHidden/>
    <w:unhideWhenUsed/>
    <w:qFormat/>
    <w:uiPriority w:val="99"/>
    <w:rPr>
      <w:color w:val="0000FF"/>
      <w:u w:val="single"/>
    </w:rPr>
  </w:style>
  <w:style w:type="paragraph" w:styleId="6">
    <w:name w:val="Body Text"/>
    <w:basedOn w:val="1"/>
    <w:link w:val="9"/>
    <w:qFormat/>
    <w:uiPriority w:val="1"/>
    <w:pPr>
      <w:ind w:left="102"/>
    </w:pPr>
  </w:style>
  <w:style w:type="paragraph" w:styleId="7">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8">
    <w:name w:val="header"/>
    <w:basedOn w:val="1"/>
    <w:semiHidden/>
    <w:unhideWhenUsed/>
    <w:qFormat/>
    <w:uiPriority w:val="99"/>
    <w:pPr>
      <w:tabs>
        <w:tab w:val="center" w:pos="4252"/>
        <w:tab w:val="right" w:pos="8504"/>
      </w:tabs>
    </w:pPr>
  </w:style>
  <w:style w:type="character" w:customStyle="1" w:styleId="9">
    <w:name w:val="Corpo de texto Char"/>
    <w:basedOn w:val="2"/>
    <w:link w:val="6"/>
    <w:qFormat/>
    <w:uiPriority w:val="1"/>
    <w:rPr>
      <w:rFonts w:ascii="Tahoma" w:hAnsi="Tahoma" w:eastAsia="Tahoma" w:cs="Tahoma"/>
      <w:lang w:val="pt-PT"/>
    </w:rPr>
  </w:style>
  <w:style w:type="paragraph" w:styleId="10">
    <w:name w:val="List Paragraph"/>
    <w:basedOn w:val="1"/>
    <w:qFormat/>
    <w:uiPriority w:val="1"/>
    <w:pPr>
      <w:spacing w:before="133"/>
      <w:ind w:left="102"/>
    </w:pPr>
  </w:style>
  <w:style w:type="paragraph" w:customStyle="1" w:styleId="11">
    <w:name w:val="texto_espaco_duplo_recuo_primeira_linha"/>
    <w:basedOn w:val="1"/>
    <w:qFormat/>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2">
    <w:name w:val="Cabeçalho1"/>
    <w:basedOn w:val="1"/>
    <w:qFormat/>
    <w:uiPriority w:val="0"/>
    <w:pPr>
      <w:tabs>
        <w:tab w:val="center" w:pos="4419"/>
        <w:tab w:val="right" w:pos="8838"/>
      </w:tabs>
    </w:pPr>
    <w:rPr>
      <w:sz w:val="20"/>
      <w:szCs w:val="20"/>
    </w:rPr>
  </w:style>
  <w:style w:type="paragraph" w:customStyle="1" w:styleId="13">
    <w:name w:val="Conteúdo da tabela"/>
    <w:basedOn w:val="1"/>
    <w:qFormat/>
    <w:uiPriority w:val="0"/>
    <w:pPr>
      <w:suppressLineNumbers/>
    </w:pPr>
  </w:style>
  <w:style w:type="character" w:customStyle="1" w:styleId="14">
    <w:name w:val="object"/>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798</Words>
  <Characters>4310</Characters>
  <Lines>35</Lines>
  <Paragraphs>10</Paragraphs>
  <TotalTime>3</TotalTime>
  <ScaleCrop>false</ScaleCrop>
  <LinksUpToDate>false</LinksUpToDate>
  <CharactersWithSpaces>5098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2023-01-11T19:50:00Z</dcterms:created>
  <dc:creator>Cesar Baumgratz</dc:creator>
  <cp:lastModifiedBy>Licitações</cp:lastModifiedBy>
  <dcterms:modified xsi:type="dcterms:W3CDTF">2023-12-12T14:05:10Z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C4887F267AA14818A66F85F25C065D53</vt:lpwstr>
  </property>
</Properties>
</file>