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4745C" w14:textId="77777777" w:rsidR="003466F5" w:rsidRDefault="00000000">
      <w:pPr>
        <w:jc w:val="center"/>
        <w:rPr>
          <w:rFonts w:ascii="Calibri" w:eastAsia="Calibri" w:hAnsi="Calibri" w:cs="Calibri"/>
          <w:b/>
          <w:bCs/>
          <w:sz w:val="32"/>
          <w:szCs w:val="32"/>
        </w:rPr>
      </w:pPr>
      <w:r>
        <w:rPr>
          <w:rFonts w:ascii="Calibri" w:eastAsia="Calibri" w:hAnsi="Calibri" w:cs="Calibri"/>
          <w:b/>
          <w:bCs/>
          <w:sz w:val="32"/>
          <w:szCs w:val="32"/>
        </w:rPr>
        <w:t>ANEXO V</w:t>
      </w:r>
    </w:p>
    <w:p w14:paraId="4D40ADB6" w14:textId="77777777" w:rsidR="003466F5" w:rsidRDefault="00000000">
      <w:pPr>
        <w:spacing w:after="120"/>
        <w:ind w:left="100"/>
        <w:jc w:val="center"/>
        <w:rPr>
          <w:rFonts w:ascii="Calibri" w:eastAsia="Calibri" w:hAnsi="Calibri" w:cs="Calibri"/>
          <w:b/>
          <w:bCs/>
          <w:sz w:val="24"/>
          <w:szCs w:val="24"/>
        </w:rPr>
      </w:pPr>
      <w:r>
        <w:rPr>
          <w:rFonts w:ascii="Calibri" w:eastAsia="Calibri" w:hAnsi="Calibri" w:cs="Calibri"/>
          <w:b/>
          <w:bCs/>
          <w:sz w:val="24"/>
          <w:szCs w:val="24"/>
        </w:rPr>
        <w:t>TERMO DE EXECUÇÃO CULTURAL</w:t>
      </w:r>
    </w:p>
    <w:p w14:paraId="4554F31D" w14:textId="3204CB9E" w:rsidR="003466F5" w:rsidRDefault="00000000">
      <w:pPr>
        <w:spacing w:after="120"/>
        <w:ind w:left="100"/>
        <w:jc w:val="center"/>
        <w:rPr>
          <w:rFonts w:ascii="Calibri" w:eastAsia="Calibri" w:hAnsi="Calibri" w:cs="Calibri"/>
          <w:b/>
          <w:bCs/>
          <w:color w:val="FF0000"/>
          <w:sz w:val="24"/>
          <w:szCs w:val="24"/>
        </w:rPr>
      </w:pPr>
      <w:r>
        <w:rPr>
          <w:noProof/>
        </w:rPr>
        <mc:AlternateContent>
          <mc:Choice Requires="wpg">
            <w:drawing>
              <wp:anchor distT="0" distB="0" distL="114300" distR="114300" simplePos="0" relativeHeight="251658240" behindDoc="0" locked="0" layoutInCell="1" hidden="0" allowOverlap="1" wp14:anchorId="60EB165C" wp14:editId="35C5BB90">
                <wp:simplePos x="0" y="0"/>
                <wp:positionH relativeFrom="column">
                  <wp:posOffset>3082290</wp:posOffset>
                </wp:positionH>
                <wp:positionV relativeFrom="paragraph">
                  <wp:posOffset>309880</wp:posOffset>
                </wp:positionV>
                <wp:extent cx="257175" cy="200025"/>
                <wp:effectExtent l="0" t="0" r="0" b="0"/>
                <wp:wrapNone/>
                <wp:docPr id="1" name="Seta: para Baixo 1"/>
                <wp:cNvGraphicFramePr/>
                <a:graphic xmlns:a="http://schemas.openxmlformats.org/drawingml/2006/main">
                  <a:graphicData uri="http://schemas.microsoft.com/office/word/2010/wordprocessingShape">
                    <wps:wsp>
                      <wps:cNvSpPr/>
                      <wps:spPr>
                        <a:xfrm>
                          <a:off x="5236463" y="3699038"/>
                          <a:ext cx="219075" cy="161925"/>
                        </a:xfrm>
                        <a:prstGeom prst="downArrow">
                          <a:avLst>
                            <a:gd name="adj1" fmla="val 50000"/>
                            <a:gd name="adj2" fmla="val 50000"/>
                          </a:avLst>
                        </a:prstGeom>
                        <a:solidFill>
                          <a:schemeClr val="accent1"/>
                        </a:solidFill>
                        <a:ln w="19050" cap="flat" cmpd="sng">
                          <a:solidFill>
                            <a:srgbClr val="082836"/>
                          </a:solidFill>
                          <a:prstDash val="solid"/>
                          <a:miter lim="8000"/>
                          <a:headEnd type="none" w="sm" len="sm"/>
                          <a:tailEnd type="none" w="sm" len="sm"/>
                        </a:ln>
                      </wps:spPr>
                      <wps:txbx>
                        <w:txbxContent>
                          <w:p w14:paraId="5E41A158" w14:textId="77777777" w:rsidR="003466F5" w:rsidRDefault="003466F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3082290</wp:posOffset>
                </wp:positionH>
                <wp:positionV relativeFrom="paragraph">
                  <wp:posOffset>309880</wp:posOffset>
                </wp:positionV>
                <wp:extent cx="257175" cy="200025"/>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257175" cy="200025"/>
                        </a:xfrm>
                        <a:prstGeom prst="rect"/>
                        <a:ln/>
                      </pic:spPr>
                    </pic:pic>
                  </a:graphicData>
                </a:graphic>
              </wp:anchor>
            </w:drawing>
          </mc:Fallback>
        </mc:AlternateContent>
      </w:r>
    </w:p>
    <w:p w14:paraId="2213E4A7" w14:textId="77777777" w:rsidR="003466F5" w:rsidRDefault="003466F5">
      <w:pPr>
        <w:spacing w:after="120"/>
        <w:ind w:left="100"/>
        <w:jc w:val="center"/>
        <w:rPr>
          <w:rFonts w:ascii="Calibri" w:eastAsia="Calibri" w:hAnsi="Calibri" w:cs="Calibri"/>
          <w:b/>
          <w:bCs/>
          <w:sz w:val="24"/>
          <w:szCs w:val="24"/>
        </w:rPr>
      </w:pPr>
    </w:p>
    <w:p w14:paraId="70378CF1" w14:textId="77777777" w:rsidR="003466F5" w:rsidRDefault="00000000">
      <w:pPr>
        <w:spacing w:after="120"/>
        <w:ind w:left="100"/>
        <w:jc w:val="both"/>
        <w:rPr>
          <w:rFonts w:ascii="Calibri" w:eastAsia="Calibri" w:hAnsi="Calibri" w:cs="Calibri"/>
          <w:sz w:val="24"/>
          <w:szCs w:val="24"/>
        </w:rPr>
      </w:pPr>
      <w:r>
        <w:rPr>
          <w:rFonts w:ascii="Calibri" w:eastAsia="Calibri" w:hAnsi="Calibri" w:cs="Calibri"/>
          <w:sz w:val="24"/>
          <w:szCs w:val="24"/>
        </w:rPr>
        <w:t>TERMO DE EXECUÇÃO CULTURAL Nº [</w:t>
      </w:r>
      <w:r>
        <w:rPr>
          <w:rFonts w:ascii="Calibri" w:eastAsia="Calibri" w:hAnsi="Calibri" w:cs="Calibri"/>
          <w:sz w:val="24"/>
          <w:szCs w:val="24"/>
          <w:highlight w:val="yellow"/>
        </w:rPr>
        <w:t xml:space="preserve">INDICAR </w:t>
      </w:r>
      <w:proofErr w:type="gramStart"/>
      <w:r>
        <w:rPr>
          <w:rFonts w:ascii="Calibri" w:eastAsia="Calibri" w:hAnsi="Calibri" w:cs="Calibri"/>
          <w:sz w:val="24"/>
          <w:szCs w:val="24"/>
          <w:highlight w:val="yellow"/>
        </w:rPr>
        <w:t>NÚMERO]/</w:t>
      </w:r>
      <w:proofErr w:type="gramEnd"/>
      <w:r>
        <w:rPr>
          <w:rFonts w:ascii="Calibri" w:eastAsia="Calibri" w:hAnsi="Calibri" w:cs="Calibri"/>
          <w:sz w:val="24"/>
          <w:szCs w:val="24"/>
          <w:highlight w:val="yellow"/>
        </w:rPr>
        <w:t>[INDICAR ANO]</w:t>
      </w:r>
      <w:r>
        <w:rPr>
          <w:rFonts w:ascii="Calibri" w:eastAsia="Calibri" w:hAnsi="Calibri" w:cs="Calibri"/>
          <w:sz w:val="24"/>
          <w:szCs w:val="24"/>
        </w:rPr>
        <w:t xml:space="preserve"> TENDO POR OBJETO A CONCESSÃO DE APOIO FINANCEIRO A AÇÕES CULTURAIS CONTEMPLADAS PELO EDITAL </w:t>
      </w:r>
      <w:r>
        <w:rPr>
          <w:rFonts w:ascii="Calibri" w:eastAsia="Calibri" w:hAnsi="Calibri" w:cs="Calibri"/>
          <w:b/>
          <w:bCs/>
          <w:color w:val="000000"/>
          <w:sz w:val="27"/>
          <w:szCs w:val="27"/>
        </w:rPr>
        <w:t>31/</w:t>
      </w:r>
      <w:proofErr w:type="gramStart"/>
      <w:r>
        <w:rPr>
          <w:rFonts w:ascii="Calibri" w:eastAsia="Calibri" w:hAnsi="Calibri" w:cs="Calibri"/>
          <w:b/>
          <w:bCs/>
          <w:color w:val="000000"/>
          <w:sz w:val="27"/>
          <w:szCs w:val="27"/>
        </w:rPr>
        <w:t xml:space="preserve">2026 </w:t>
      </w:r>
      <w:r>
        <w:rPr>
          <w:rFonts w:ascii="Calibri" w:eastAsia="Calibri" w:hAnsi="Calibri" w:cs="Calibri"/>
          <w:i/>
          <w:iCs/>
          <w:color w:val="FF0000"/>
          <w:sz w:val="24"/>
          <w:szCs w:val="24"/>
        </w:rPr>
        <w:t xml:space="preserve"> </w:t>
      </w:r>
      <w:r>
        <w:rPr>
          <w:rFonts w:ascii="Calibri" w:eastAsia="Calibri" w:hAnsi="Calibri" w:cs="Calibri"/>
          <w:i/>
          <w:iCs/>
          <w:sz w:val="24"/>
          <w:szCs w:val="24"/>
        </w:rPr>
        <w:t>–</w:t>
      </w:r>
      <w:proofErr w:type="gramEnd"/>
      <w:r>
        <w:rPr>
          <w:rFonts w:ascii="Calibri" w:eastAsia="Calibri" w:hAnsi="Calibri" w:cs="Calibri"/>
          <w:i/>
          <w:iCs/>
          <w:sz w:val="24"/>
          <w:szCs w:val="24"/>
        </w:rPr>
        <w:t>,</w:t>
      </w:r>
      <w:r>
        <w:rPr>
          <w:rFonts w:ascii="Calibri" w:eastAsia="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1E26F52F" w14:textId="77777777" w:rsidR="003466F5" w:rsidRDefault="003466F5">
      <w:pPr>
        <w:spacing w:after="100"/>
        <w:ind w:left="100"/>
        <w:jc w:val="both"/>
        <w:rPr>
          <w:rFonts w:ascii="Calibri" w:eastAsia="Calibri" w:hAnsi="Calibri" w:cs="Calibri"/>
          <w:sz w:val="24"/>
          <w:szCs w:val="24"/>
        </w:rPr>
      </w:pPr>
    </w:p>
    <w:p w14:paraId="5798DAD3"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1. PARTES</w:t>
      </w:r>
    </w:p>
    <w:p w14:paraId="1E0FA6D3"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1.1 O</w:t>
      </w:r>
      <w:r>
        <w:rPr>
          <w:rFonts w:ascii="Calibri" w:eastAsia="Calibri" w:hAnsi="Calibri" w:cs="Calibri"/>
          <w:color w:val="FF0000"/>
          <w:sz w:val="24"/>
          <w:szCs w:val="24"/>
        </w:rPr>
        <w:t xml:space="preserve"> </w:t>
      </w:r>
      <w:r>
        <w:rPr>
          <w:rFonts w:ascii="Calibri" w:eastAsia="Calibri" w:hAnsi="Calibri" w:cs="Calibri"/>
          <w:color w:val="000000"/>
          <w:sz w:val="24"/>
          <w:szCs w:val="24"/>
        </w:rPr>
        <w:t xml:space="preserve">Município de Bom Princípio/RS </w:t>
      </w:r>
      <w:r>
        <w:rPr>
          <w:rFonts w:ascii="Calibri" w:eastAsia="Calibri" w:hAnsi="Calibri" w:cs="Calibri"/>
          <w:sz w:val="24"/>
          <w:szCs w:val="24"/>
        </w:rPr>
        <w:t xml:space="preserve">neste ato representado pelo Prefeito, Senhor Vasco Alexandre Brandt e pela Secretária de Educação, Cultura, Desporto e Turismo, Senhora Marcia Regina </w:t>
      </w:r>
      <w:proofErr w:type="spellStart"/>
      <w:r>
        <w:rPr>
          <w:rFonts w:ascii="Calibri" w:eastAsia="Calibri" w:hAnsi="Calibri" w:cs="Calibri"/>
          <w:sz w:val="24"/>
          <w:szCs w:val="24"/>
        </w:rPr>
        <w:t>Zamberlan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Rhoden</w:t>
      </w:r>
      <w:proofErr w:type="spellEnd"/>
      <w:r>
        <w:rPr>
          <w:rFonts w:ascii="Calibri" w:eastAsia="Calibri" w:hAnsi="Calibri" w:cs="Calibri"/>
          <w:sz w:val="24"/>
          <w:szCs w:val="24"/>
        </w:rPr>
        <w:t xml:space="preserve">, e </w:t>
      </w:r>
      <w:r>
        <w:rPr>
          <w:rFonts w:ascii="Calibri" w:eastAsia="Calibri" w:hAnsi="Calibri" w:cs="Calibri"/>
          <w:sz w:val="24"/>
          <w:szCs w:val="24"/>
          <w:highlight w:val="yellow"/>
        </w:rPr>
        <w:t>o(a) AGENTE CULTURAL, [INDICAR NOME DO(A) AGENTE CULTURAL CONTEMPLADO]</w:t>
      </w:r>
      <w:r>
        <w:rPr>
          <w:rFonts w:ascii="Calibri" w:eastAsia="Calibri" w:hAnsi="Calibri" w:cs="Calibri"/>
          <w:sz w:val="24"/>
          <w:szCs w:val="24"/>
        </w:rPr>
        <w:t xml:space="preserve">, portador(a) do RG nº </w:t>
      </w:r>
      <w:r>
        <w:rPr>
          <w:rFonts w:ascii="Calibri" w:eastAsia="Calibri" w:hAnsi="Calibri" w:cs="Calibri"/>
          <w:sz w:val="24"/>
          <w:szCs w:val="24"/>
          <w:highlight w:val="yellow"/>
        </w:rPr>
        <w:t>[INDICAR Nº DO RG],</w:t>
      </w:r>
      <w:r>
        <w:rPr>
          <w:rFonts w:ascii="Calibri" w:eastAsia="Calibri" w:hAnsi="Calibri" w:cs="Calibri"/>
          <w:sz w:val="24"/>
          <w:szCs w:val="24"/>
        </w:rPr>
        <w:t xml:space="preserve"> expedida em </w:t>
      </w:r>
      <w:r>
        <w:rPr>
          <w:rFonts w:ascii="Calibri" w:eastAsia="Calibri" w:hAnsi="Calibri" w:cs="Calibri"/>
          <w:sz w:val="24"/>
          <w:szCs w:val="24"/>
          <w:highlight w:val="yellow"/>
        </w:rPr>
        <w:t>[INDICAR ÓRGÃO EXPEDIDOR], CPF nº [INDICAR Nº DO CPF], residente e domiciliado(a) à [INDICAR ENDEREÇO], CEP: [INDICAR CEP], telefones: [INDICAR TELEFONES],</w:t>
      </w:r>
      <w:r>
        <w:rPr>
          <w:rFonts w:ascii="Calibri" w:eastAsia="Calibri" w:hAnsi="Calibri" w:cs="Calibri"/>
          <w:sz w:val="24"/>
          <w:szCs w:val="24"/>
        </w:rPr>
        <w:t xml:space="preserve"> resolvem firmar o presente Termo de Execução Cultural, de acordo com as seguintes condições:</w:t>
      </w:r>
    </w:p>
    <w:p w14:paraId="597F9BC8"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2. PROCEDIMENTO</w:t>
      </w:r>
    </w:p>
    <w:p w14:paraId="0F882B2A" w14:textId="77777777" w:rsidR="003466F5" w:rsidRDefault="00000000">
      <w:pPr>
        <w:spacing w:after="120"/>
        <w:ind w:left="100"/>
        <w:jc w:val="both"/>
        <w:rPr>
          <w:rFonts w:ascii="Calibri" w:eastAsia="Calibri" w:hAnsi="Calibri" w:cs="Calibri"/>
          <w:sz w:val="24"/>
          <w:szCs w:val="24"/>
        </w:rPr>
      </w:pPr>
      <w:r>
        <w:rPr>
          <w:rFonts w:ascii="Calibri" w:eastAsia="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5ECA61F"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3. OBJETO</w:t>
      </w:r>
    </w:p>
    <w:p w14:paraId="12ADF87D"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3.1. Este Termo de Execução Cultural tem por objeto a concessão de apoio financeiro ao projeto cultural </w:t>
      </w:r>
      <w:r>
        <w:rPr>
          <w:rFonts w:ascii="Calibri" w:eastAsia="Calibri" w:hAnsi="Calibri" w:cs="Calibri"/>
          <w:sz w:val="24"/>
          <w:szCs w:val="24"/>
          <w:highlight w:val="yellow"/>
        </w:rPr>
        <w:t>[INDICAR NOME DO PROJETO],</w:t>
      </w:r>
      <w:r>
        <w:rPr>
          <w:rFonts w:ascii="Calibri" w:eastAsia="Calibri" w:hAnsi="Calibri" w:cs="Calibri"/>
          <w:sz w:val="24"/>
          <w:szCs w:val="24"/>
        </w:rPr>
        <w:t xml:space="preserve"> contemplado no conforme processo administrativo nº </w:t>
      </w:r>
      <w:r>
        <w:rPr>
          <w:rFonts w:ascii="Calibri" w:eastAsia="Calibri" w:hAnsi="Calibri" w:cs="Calibri"/>
          <w:sz w:val="24"/>
          <w:szCs w:val="24"/>
          <w:highlight w:val="yellow"/>
        </w:rPr>
        <w:t>[INDICAR NÚMERO DO PROCESSO].</w:t>
      </w:r>
      <w:r>
        <w:rPr>
          <w:rFonts w:ascii="Calibri" w:eastAsia="Calibri" w:hAnsi="Calibri" w:cs="Calibri"/>
          <w:sz w:val="24"/>
          <w:szCs w:val="24"/>
        </w:rPr>
        <w:t xml:space="preserve"> </w:t>
      </w:r>
    </w:p>
    <w:p w14:paraId="37228563"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4. RECURSOS FINANCEIROS </w:t>
      </w:r>
    </w:p>
    <w:p w14:paraId="426406B9"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4.1. Os recursos financeiros para a execução do presente termo totalizam o montante de R$ </w:t>
      </w:r>
      <w:r>
        <w:rPr>
          <w:rFonts w:ascii="Calibri" w:eastAsia="Calibri" w:hAnsi="Calibri" w:cs="Calibri"/>
          <w:sz w:val="24"/>
          <w:szCs w:val="24"/>
          <w:highlight w:val="yellow"/>
        </w:rPr>
        <w:t>[INDICAR VALOR EM NÚMERO ARÁBICO] ([INDICAR VALOR POR EXTENSO]</w:t>
      </w:r>
      <w:r>
        <w:rPr>
          <w:rFonts w:ascii="Calibri" w:eastAsia="Calibri" w:hAnsi="Calibri" w:cs="Calibri"/>
          <w:sz w:val="24"/>
          <w:szCs w:val="24"/>
        </w:rPr>
        <w:t xml:space="preserve"> reais).</w:t>
      </w:r>
    </w:p>
    <w:p w14:paraId="1262C64B"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 xml:space="preserve">4.2. Serão transferidos à conta do(a) AGENTE CULTURAL, especialmente aberta no </w:t>
      </w:r>
      <w:r>
        <w:rPr>
          <w:rFonts w:ascii="Calibri" w:eastAsia="Calibri" w:hAnsi="Calibri" w:cs="Calibri"/>
          <w:sz w:val="24"/>
          <w:szCs w:val="24"/>
          <w:highlight w:val="yellow"/>
        </w:rPr>
        <w:t>[NOME DO BANCO]</w:t>
      </w:r>
      <w:r>
        <w:rPr>
          <w:rFonts w:ascii="Calibri" w:eastAsia="Calibri" w:hAnsi="Calibri" w:cs="Calibri"/>
          <w:sz w:val="24"/>
          <w:szCs w:val="24"/>
        </w:rPr>
        <w:t xml:space="preserve">, Agência </w:t>
      </w:r>
      <w:r>
        <w:rPr>
          <w:rFonts w:ascii="Calibri" w:eastAsia="Calibri" w:hAnsi="Calibri" w:cs="Calibri"/>
          <w:sz w:val="24"/>
          <w:szCs w:val="24"/>
          <w:highlight w:val="yellow"/>
        </w:rPr>
        <w:t>[INDICAR AGÊNCIA],</w:t>
      </w:r>
      <w:r>
        <w:rPr>
          <w:rFonts w:ascii="Calibri" w:eastAsia="Calibri" w:hAnsi="Calibri" w:cs="Calibri"/>
          <w:sz w:val="24"/>
          <w:szCs w:val="24"/>
        </w:rPr>
        <w:t xml:space="preserve"> Conta Corrente nº </w:t>
      </w:r>
      <w:r>
        <w:rPr>
          <w:rFonts w:ascii="Calibri" w:eastAsia="Calibri" w:hAnsi="Calibri" w:cs="Calibri"/>
          <w:sz w:val="24"/>
          <w:szCs w:val="24"/>
          <w:highlight w:val="yellow"/>
        </w:rPr>
        <w:t>[INDICAR CONTA],</w:t>
      </w:r>
      <w:r>
        <w:rPr>
          <w:rFonts w:ascii="Calibri" w:eastAsia="Calibri" w:hAnsi="Calibri" w:cs="Calibri"/>
          <w:sz w:val="24"/>
          <w:szCs w:val="24"/>
        </w:rPr>
        <w:t xml:space="preserve"> para recebimento e movimentação.</w:t>
      </w:r>
    </w:p>
    <w:p w14:paraId="725DF1FA"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5. APLICAÇÃO DOS RECURSOS</w:t>
      </w:r>
    </w:p>
    <w:p w14:paraId="1918EFA5"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5.1 Os rendimentos de ativos financeiros poderão ser aplicados para o alcance do objeto, sem a necessidade de autorização prévia.</w:t>
      </w:r>
    </w:p>
    <w:p w14:paraId="6CAE4F1A"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6. OBRIGAÇÕES</w:t>
      </w:r>
    </w:p>
    <w:p w14:paraId="761D8131" w14:textId="77777777" w:rsidR="003466F5" w:rsidRDefault="00000000">
      <w:pPr>
        <w:spacing w:after="100"/>
        <w:ind w:left="100"/>
        <w:jc w:val="both"/>
        <w:rPr>
          <w:rFonts w:ascii="Calibri" w:eastAsia="Calibri" w:hAnsi="Calibri" w:cs="Calibri"/>
          <w:color w:val="FF0000"/>
          <w:sz w:val="24"/>
          <w:szCs w:val="24"/>
        </w:rPr>
      </w:pPr>
      <w:r>
        <w:rPr>
          <w:rFonts w:ascii="Calibri" w:eastAsia="Calibri" w:hAnsi="Calibri" w:cs="Calibri"/>
          <w:sz w:val="24"/>
          <w:szCs w:val="24"/>
        </w:rPr>
        <w:t xml:space="preserve">6.1 São obrigações da </w:t>
      </w:r>
      <w:r>
        <w:rPr>
          <w:rFonts w:ascii="Calibri" w:eastAsia="Calibri" w:hAnsi="Calibri" w:cs="Calibri"/>
          <w:color w:val="000000"/>
          <w:sz w:val="24"/>
          <w:szCs w:val="24"/>
        </w:rPr>
        <w:t>Secretaria da Educação, Cultura, Desporto e Turismo:</w:t>
      </w:r>
    </w:p>
    <w:p w14:paraId="64F2329A"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transferir os recursos ao(a) AGENTE CULTURAL; </w:t>
      </w:r>
    </w:p>
    <w:p w14:paraId="3A8C3D40"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orientar o(a) AGENTE CULTURAL sobre o procedimento para a prestação de informações dos recursos concedidos; </w:t>
      </w:r>
    </w:p>
    <w:p w14:paraId="31168B0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III) analisar e emitir parecer sobre os relatórios e sobre a prestação de informações apresentados pelo(a) AGENTE CULTURAL; </w:t>
      </w:r>
    </w:p>
    <w:p w14:paraId="48E0700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IV) zelar pelo fiel cumprimento deste termo de execução cultural; </w:t>
      </w:r>
    </w:p>
    <w:p w14:paraId="65365FE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V) adotar medidas saneadoras e corretivas quando houver inadimplemento;</w:t>
      </w:r>
    </w:p>
    <w:p w14:paraId="720A3D4A"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VI) monitorar o cumprimento pelo(a) AGENTE CULTURAL das obrigações previstas na CLÁUSULA 6.2.</w:t>
      </w:r>
    </w:p>
    <w:p w14:paraId="0DDE434F"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6.2 São obrigações do(a) AGENTE CULTURAL: </w:t>
      </w:r>
    </w:p>
    <w:p w14:paraId="22C8F841"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executar a ação cultural aprovada; </w:t>
      </w:r>
    </w:p>
    <w:p w14:paraId="12E8A531"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aplicar os recursos concedidos na realização da ação cultural; </w:t>
      </w:r>
    </w:p>
    <w:p w14:paraId="0215F889"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III) manter, obrigatória e exclusivamente, os recursos financeiros depositados na conta especialmente aberta para o Termo de Execução Cultural;</w:t>
      </w:r>
    </w:p>
    <w:p w14:paraId="1FEC47EF"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IV) facilitar o monitoramento, o controle e supervisão do termo de execução cultural bem como o acesso ao local de realização da ação cultural;</w:t>
      </w:r>
    </w:p>
    <w:p w14:paraId="46905D17"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V) prestar informações à</w:t>
      </w:r>
      <w:r>
        <w:rPr>
          <w:rFonts w:ascii="Calibri" w:eastAsia="Calibri" w:hAnsi="Calibri" w:cs="Calibri"/>
          <w:color w:val="FF0000"/>
          <w:sz w:val="24"/>
          <w:szCs w:val="24"/>
        </w:rPr>
        <w:t xml:space="preserve"> </w:t>
      </w:r>
      <w:r>
        <w:rPr>
          <w:rFonts w:ascii="Calibri" w:eastAsia="Calibri" w:hAnsi="Calibri" w:cs="Calibri"/>
          <w:color w:val="000000"/>
          <w:sz w:val="24"/>
          <w:szCs w:val="24"/>
        </w:rPr>
        <w:t>Secretaria da Educação, Cultura, Desporto e Turismo</w:t>
      </w:r>
      <w:r>
        <w:rPr>
          <w:rFonts w:ascii="Calibri" w:eastAsia="Calibri" w:hAnsi="Calibri" w:cs="Calibri"/>
          <w:sz w:val="24"/>
          <w:szCs w:val="24"/>
        </w:rPr>
        <w:t xml:space="preserve"> por meio de Relatório de Execução do Objeto, apresentado no prazo máximo de 120</w:t>
      </w:r>
      <w:r>
        <w:rPr>
          <w:rFonts w:ascii="Calibri" w:eastAsia="Calibri" w:hAnsi="Calibri" w:cs="Calibri"/>
          <w:color w:val="000000"/>
          <w:sz w:val="24"/>
          <w:szCs w:val="24"/>
        </w:rPr>
        <w:t xml:space="preserve"> (sessenta) dias </w:t>
      </w:r>
      <w:r>
        <w:rPr>
          <w:rFonts w:ascii="Calibri" w:eastAsia="Calibri" w:hAnsi="Calibri" w:cs="Calibri"/>
          <w:sz w:val="24"/>
          <w:szCs w:val="24"/>
        </w:rPr>
        <w:t>contados do término da vigência do termo de execução cultural;</w:t>
      </w:r>
    </w:p>
    <w:p w14:paraId="2B500DDA"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VI) atender a qualquer solicitação regular feita pelo </w:t>
      </w:r>
      <w:r>
        <w:rPr>
          <w:rFonts w:ascii="Calibri" w:eastAsia="Calibri" w:hAnsi="Calibri" w:cs="Calibri"/>
          <w:color w:val="000000"/>
          <w:sz w:val="24"/>
          <w:szCs w:val="24"/>
        </w:rPr>
        <w:t>Secretaria da Educação, Cultura, Desporto e Turismo</w:t>
      </w:r>
      <w:r>
        <w:rPr>
          <w:rFonts w:ascii="Calibri" w:eastAsia="Calibri" w:hAnsi="Calibri" w:cs="Calibri"/>
          <w:sz w:val="24"/>
          <w:szCs w:val="24"/>
        </w:rPr>
        <w:t xml:space="preserve"> a contar do recebimento da notificação; </w:t>
      </w:r>
    </w:p>
    <w:p w14:paraId="39303D83"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w:t>
      </w:r>
      <w:r>
        <w:rPr>
          <w:rFonts w:ascii="Calibri" w:eastAsia="Calibri" w:hAnsi="Calibri" w:cs="Calibri"/>
          <w:sz w:val="24"/>
          <w:szCs w:val="24"/>
        </w:rPr>
        <w:lastRenderedPageBreak/>
        <w:t>existentes na Lei nº 9.504/1997 (Lei das Eleições) nos três meses que antecedem as eleições;</w:t>
      </w:r>
    </w:p>
    <w:p w14:paraId="0AB491DA" w14:textId="77777777" w:rsidR="003466F5" w:rsidRDefault="00000000">
      <w:pPr>
        <w:spacing w:after="100"/>
        <w:ind w:left="100"/>
        <w:jc w:val="both"/>
        <w:rPr>
          <w:rFonts w:ascii="Calibri" w:eastAsia="Calibri" w:hAnsi="Calibri" w:cs="Calibri"/>
          <w:sz w:val="24"/>
          <w:szCs w:val="24"/>
          <w:u w:val="single"/>
        </w:rPr>
      </w:pPr>
      <w:r>
        <w:rPr>
          <w:rFonts w:ascii="Calibri" w:eastAsia="Calibri" w:hAnsi="Calibri" w:cs="Calibri"/>
          <w:sz w:val="24"/>
          <w:szCs w:val="24"/>
        </w:rPr>
        <w:t xml:space="preserve">VIII) </w:t>
      </w:r>
      <w:r>
        <w:rPr>
          <w:rFonts w:ascii="Calibri" w:eastAsia="Calibri" w:hAnsi="Calibri" w:cs="Calibri"/>
          <w:sz w:val="24"/>
          <w:szCs w:val="24"/>
          <w:u w:val="single"/>
        </w:rPr>
        <w:t>Expor, no local de execução do objeto um banner, com as medidas mínimas de 80x110cm, com o nome do projeto e a informação de que a ação cultural aprovada é apoiada com recursos da Política Nacional Aldir Blanc de Fomento à Cultura, incluindo as marcas do Governo Federal e do Município de Bom Princípio, de acordo com as orientações técnicas do manual de aplicação de marcas divulgado pelo Ministério da Cultura.</w:t>
      </w:r>
    </w:p>
    <w:p w14:paraId="4C4C01B5"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IX) não realizar despesa em data anterior ou posterior à vigência deste termo de execução cultural; </w:t>
      </w:r>
    </w:p>
    <w:p w14:paraId="1AEA485C"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X) guardar a documentação referente à prestação de informações e financeira pelo prazo de 5 anos, contados do fim da vigência deste Termo de Execução Cultural; </w:t>
      </w:r>
    </w:p>
    <w:p w14:paraId="28E6AF77"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XI) não utilizar os recursos para finalidade diversa da estabelecida no projeto cultural;</w:t>
      </w:r>
    </w:p>
    <w:p w14:paraId="34E62AF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XII) encaminhar os documentos do novo dirigente, bem como nova ata de eleição ou termo de posse, em caso de falecimento ou substituição de dirigente da entidade cultural, caso seja agente cultural pessoa jurídica. </w:t>
      </w:r>
    </w:p>
    <w:p w14:paraId="7D0C260A" w14:textId="77777777" w:rsidR="003466F5" w:rsidRDefault="00000000">
      <w:pPr>
        <w:spacing w:after="100"/>
        <w:ind w:left="100"/>
        <w:jc w:val="both"/>
        <w:rPr>
          <w:rFonts w:ascii="Calibri" w:eastAsia="Calibri" w:hAnsi="Calibri" w:cs="Calibri"/>
          <w:color w:val="000000"/>
          <w:sz w:val="24"/>
          <w:szCs w:val="24"/>
        </w:rPr>
      </w:pPr>
      <w:r>
        <w:rPr>
          <w:rFonts w:ascii="Calibri" w:eastAsia="Calibri" w:hAnsi="Calibri" w:cs="Calibri"/>
          <w:sz w:val="24"/>
          <w:szCs w:val="24"/>
        </w:rPr>
        <w:t xml:space="preserve">XIII) </w:t>
      </w:r>
      <w:r>
        <w:rPr>
          <w:rFonts w:ascii="Calibri" w:eastAsia="Calibri" w:hAnsi="Calibri" w:cs="Calibri"/>
          <w:color w:val="000000"/>
          <w:sz w:val="24"/>
          <w:szCs w:val="24"/>
        </w:rPr>
        <w:t>Acatar as orientações da Comissão de Monitoramento, em relação a correção de eventuais desvios na execução do objeto do projeto. E, ainda, quanto a correta inserção e divulgação das marcas obrigatórias em todos os materiais ou ações realizadas pelo projeto cultural.</w:t>
      </w:r>
    </w:p>
    <w:p w14:paraId="561C50AE" w14:textId="77777777" w:rsidR="003466F5" w:rsidRDefault="003466F5">
      <w:pPr>
        <w:spacing w:after="100"/>
        <w:ind w:left="100"/>
        <w:jc w:val="both"/>
        <w:rPr>
          <w:rFonts w:ascii="Calibri" w:eastAsia="Calibri" w:hAnsi="Calibri" w:cs="Calibri"/>
          <w:sz w:val="24"/>
          <w:szCs w:val="24"/>
        </w:rPr>
      </w:pPr>
    </w:p>
    <w:p w14:paraId="17501794" w14:textId="77777777" w:rsidR="003466F5" w:rsidRDefault="00000000">
      <w:pPr>
        <w:spacing w:after="100"/>
        <w:ind w:left="100"/>
        <w:jc w:val="both"/>
        <w:rPr>
          <w:rFonts w:ascii="Calibri" w:eastAsia="Calibri" w:hAnsi="Calibri" w:cs="Calibri"/>
          <w:color w:val="FF0000"/>
          <w:sz w:val="24"/>
          <w:szCs w:val="24"/>
        </w:rPr>
      </w:pPr>
      <w:r>
        <w:rPr>
          <w:rFonts w:ascii="Calibri" w:eastAsia="Calibri" w:hAnsi="Calibri" w:cs="Calibri"/>
          <w:b/>
          <w:bCs/>
          <w:color w:val="000000"/>
          <w:sz w:val="24"/>
          <w:szCs w:val="24"/>
        </w:rPr>
        <w:t>7. PRESTAÇÃO DE INFORMAÇÕES EM RELATÓRIO DE EXECUÇÃO DO OBJETO</w:t>
      </w:r>
    </w:p>
    <w:p w14:paraId="76A53F9C"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7.1 O agente cultural prestará contas à administração pública por meio da apresentação de Relatório de Objeto da Execução Cultural, no prazo de até 30 dias a contar do fim da vigência deste Termo de Execução Cultural. </w:t>
      </w:r>
    </w:p>
    <w:p w14:paraId="3C864260"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7.1.1 O Relatório de Objeto da Execução Cultural deverá:</w:t>
      </w:r>
    </w:p>
    <w:p w14:paraId="05AD3CB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comprovar</w:t>
      </w:r>
      <w:proofErr w:type="gramEnd"/>
      <w:r>
        <w:rPr>
          <w:rFonts w:ascii="Calibri" w:eastAsia="Calibri" w:hAnsi="Calibri" w:cs="Calibri"/>
          <w:sz w:val="24"/>
          <w:szCs w:val="24"/>
        </w:rPr>
        <w:t xml:space="preserve"> que foram alcançados os resultados da ação cultural;</w:t>
      </w:r>
    </w:p>
    <w:p w14:paraId="61FED1C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conter</w:t>
      </w:r>
      <w:proofErr w:type="gramEnd"/>
      <w:r>
        <w:rPr>
          <w:rFonts w:ascii="Calibri" w:eastAsia="Calibri" w:hAnsi="Calibri" w:cs="Calibri"/>
          <w:sz w:val="24"/>
          <w:szCs w:val="24"/>
        </w:rPr>
        <w:t xml:space="preserve"> a descrição das ações desenvolvidas para o cumprimento do objeto; </w:t>
      </w:r>
    </w:p>
    <w:p w14:paraId="07C3B4D0"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79FC5564"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7.2 O agente público responsável pela análise do Relatório de Objeto da Execução Cultural deverá elaborar parecer técnico em que concluirá:</w:t>
      </w:r>
    </w:p>
    <w:p w14:paraId="6064E89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 xml:space="preserve">I - </w:t>
      </w:r>
      <w:proofErr w:type="gramStart"/>
      <w:r>
        <w:rPr>
          <w:rFonts w:ascii="Calibri" w:eastAsia="Calibri" w:hAnsi="Calibri" w:cs="Calibri"/>
          <w:sz w:val="24"/>
          <w:szCs w:val="24"/>
        </w:rPr>
        <w:t>pelo</w:t>
      </w:r>
      <w:proofErr w:type="gramEnd"/>
      <w:r>
        <w:rPr>
          <w:rFonts w:ascii="Calibri" w:eastAsia="Calibri" w:hAnsi="Calibri" w:cs="Calibri"/>
          <w:sz w:val="24"/>
          <w:szCs w:val="24"/>
        </w:rPr>
        <w:t xml:space="preserve"> cumprimento integral do objeto ou pela suficiência do cumprimento parcial devidamente justificada e providenciará imediato encaminhamento do processo à autoridade julgadora;</w:t>
      </w:r>
    </w:p>
    <w:p w14:paraId="1A3CE904"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pela</w:t>
      </w:r>
      <w:proofErr w:type="gramEnd"/>
      <w:r>
        <w:rPr>
          <w:rFonts w:ascii="Calibri" w:eastAsia="Calibri" w:hAnsi="Calibri" w:cs="Calibri"/>
          <w:sz w:val="24"/>
          <w:szCs w:val="24"/>
        </w:rPr>
        <w:t xml:space="preserve"> necessidade de o agente cultural apresentar documentação complementar relativa ao cumprimento do objeto;</w:t>
      </w:r>
    </w:p>
    <w:p w14:paraId="2DC3FC5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52B4972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7.3 Após o recebimento do processo pelo agente público de que trata o item 7.2, autoridade responsável pelo julgamento da prestação de informações poderá:</w:t>
      </w:r>
    </w:p>
    <w:p w14:paraId="7517B58A"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solicitar</w:t>
      </w:r>
      <w:proofErr w:type="gramEnd"/>
      <w:r>
        <w:rPr>
          <w:rFonts w:ascii="Calibri" w:eastAsia="Calibri" w:hAnsi="Calibri" w:cs="Calibri"/>
          <w:sz w:val="24"/>
          <w:szCs w:val="24"/>
        </w:rPr>
        <w:t xml:space="preserve"> documentação complementar; </w:t>
      </w:r>
    </w:p>
    <w:p w14:paraId="299C716F"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aprovar</w:t>
      </w:r>
      <w:proofErr w:type="gramEnd"/>
      <w:r>
        <w:rPr>
          <w:rFonts w:ascii="Calibri" w:eastAsia="Calibri" w:hAnsi="Calibri" w:cs="Calibri"/>
          <w:sz w:val="24"/>
          <w:szCs w:val="24"/>
        </w:rPr>
        <w:t xml:space="preserve"> sem ressalvas a prestação de contas, quando estiver convencida do cumprimento integral do objeto;</w:t>
      </w:r>
    </w:p>
    <w:p w14:paraId="71B8845D"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III - aprovar com ressalvas a prestação de contas, quando for comprovada a realização da ação cultural, mas verificada inadequação na execução do objeto ou na execução financeira, sem má-fé; </w:t>
      </w:r>
    </w:p>
    <w:p w14:paraId="4EBAEA35"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IV - </w:t>
      </w:r>
      <w:proofErr w:type="gramStart"/>
      <w:r>
        <w:rPr>
          <w:rFonts w:ascii="Calibri" w:eastAsia="Calibri" w:hAnsi="Calibri" w:cs="Calibri"/>
          <w:sz w:val="24"/>
          <w:szCs w:val="24"/>
        </w:rPr>
        <w:t>rejeitar</w:t>
      </w:r>
      <w:proofErr w:type="gramEnd"/>
      <w:r>
        <w:rPr>
          <w:rFonts w:ascii="Calibri" w:eastAsia="Calibri" w:hAnsi="Calibri" w:cs="Calibri"/>
          <w:sz w:val="24"/>
          <w:szCs w:val="24"/>
        </w:rPr>
        <w:t xml:space="preserve"> a prestação de contas, total ou parcialmente, e determinar uma das seguintes medidas:</w:t>
      </w:r>
    </w:p>
    <w:p w14:paraId="73B7C7FF"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a) devolução de recursos em valor proporcional à inexecução de objeto verificada; </w:t>
      </w:r>
    </w:p>
    <w:p w14:paraId="6C806C2F"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b) pagamento de multa, nos termos do regulamento; </w:t>
      </w:r>
    </w:p>
    <w:p w14:paraId="15C32C4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c) suspensão da possibilidade de celebrar novo instrumento do regime próprio de fomento à cultura pelo prazo de 180 (cento e oitenta) a 540 (quinhentos e quarenta) dias. </w:t>
      </w:r>
    </w:p>
    <w:p w14:paraId="7B876F1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7.4 O Relatório Financeiro da Execução Cultural será exigido, independente da modalidade inicial de prestação de informações (in loco ou em relatório de execução do objeto), somente nas seguintes hipóteses:</w:t>
      </w:r>
    </w:p>
    <w:p w14:paraId="15BDE5DB"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quando</w:t>
      </w:r>
      <w:proofErr w:type="gramEnd"/>
      <w:r>
        <w:rPr>
          <w:rFonts w:ascii="Calibri" w:eastAsia="Calibri" w:hAnsi="Calibri" w:cs="Calibri"/>
          <w:sz w:val="24"/>
          <w:szCs w:val="24"/>
        </w:rPr>
        <w:t xml:space="preserve"> não estiver comprovado o cumprimento do objeto, observados os procedimentos previstos nos itens anteriores; ou</w:t>
      </w:r>
    </w:p>
    <w:p w14:paraId="3127B90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quando</w:t>
      </w:r>
      <w:proofErr w:type="gramEnd"/>
      <w:r>
        <w:rPr>
          <w:rFonts w:ascii="Calibri" w:eastAsia="Calibri" w:hAnsi="Calibri" w:cs="Calibri"/>
          <w:sz w:val="24"/>
          <w:szCs w:val="24"/>
        </w:rPr>
        <w:t xml:space="preserve"> for recebida, pela administração pública, denúncia de irregularidade na execução da ação cultural, mediante juízo de admissibilidade que avaliará os elementos fáticos apresentados.</w:t>
      </w:r>
    </w:p>
    <w:p w14:paraId="5BF243C4"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7.4.1 O prazo para apresentação do Relatório Financeiro da Execução Cultural será de 30 dias contados do recebimento da notificação.</w:t>
      </w:r>
    </w:p>
    <w:p w14:paraId="781EAA90"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7.5 Na hipótese de o julgamento da prestação de informações apontar a necessidade de devolução de recursos, o agente cultural será notificado para que exerça a opção por:</w:t>
      </w:r>
    </w:p>
    <w:p w14:paraId="4B8259E3"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devolução</w:t>
      </w:r>
      <w:proofErr w:type="gramEnd"/>
      <w:r>
        <w:rPr>
          <w:rFonts w:ascii="Calibri" w:eastAsia="Calibri" w:hAnsi="Calibri" w:cs="Calibri"/>
          <w:sz w:val="24"/>
          <w:szCs w:val="24"/>
        </w:rPr>
        <w:t xml:space="preserve"> parcial ou integral dos recursos ao erário;</w:t>
      </w:r>
    </w:p>
    <w:p w14:paraId="62BF31C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apresentação</w:t>
      </w:r>
      <w:proofErr w:type="gramEnd"/>
      <w:r>
        <w:rPr>
          <w:rFonts w:ascii="Calibri" w:eastAsia="Calibri" w:hAnsi="Calibri" w:cs="Calibri"/>
          <w:sz w:val="24"/>
          <w:szCs w:val="24"/>
        </w:rPr>
        <w:t xml:space="preserve"> de plano de ações compensatórias; ou</w:t>
      </w:r>
    </w:p>
    <w:p w14:paraId="5BE68B9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III - devolução parcial dos recursos ao erário juntamente com a apresentação de plano de ações compensatórias.</w:t>
      </w:r>
    </w:p>
    <w:p w14:paraId="3686254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7.5.1 A ocorrência de caso fortuito ou força maior impeditiva da execução do instrumento afasta a reprovação da prestação de informações, desde que comprovada.</w:t>
      </w:r>
    </w:p>
    <w:p w14:paraId="5351E811"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7.5.2 Nos casos em que estiver caracterizada má-fé do agente cultural, será imediatamente exigida a devolução de recursos ao erário, vedada a aceitação de plano de ações compensatórias.</w:t>
      </w:r>
    </w:p>
    <w:p w14:paraId="0840C000"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7.5.3 Nos casos em que houver exigência de devolução de recursos ao erário, o agente cultural poderá solicitar o parcelamento do débito, na forma e nas condições previstas na legislação.</w:t>
      </w:r>
    </w:p>
    <w:p w14:paraId="37128216"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8. ALTERAÇÃO DO TERMO DE EXECUÇÃO CULTURAL</w:t>
      </w:r>
    </w:p>
    <w:p w14:paraId="5C1567C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8.1 A alteração do termo de execução cultural será formalizada por meio de termo aditivo.</w:t>
      </w:r>
    </w:p>
    <w:p w14:paraId="3C3AF25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8.2 A formalização de termo aditivo não será necessária nas seguintes hipóteses:</w:t>
      </w:r>
    </w:p>
    <w:p w14:paraId="3C6FE48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 - Prorrogação de vigência realizada de ofício pela administração pública quando der causa ao atraso na liberação de recursos; e</w:t>
      </w:r>
    </w:p>
    <w:p w14:paraId="2B9EB841"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 - Alteração do projeto sem modificação do valor global do instrumento e sem modificação substancial do objeto.</w:t>
      </w:r>
    </w:p>
    <w:p w14:paraId="030F6BB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8.3 Na hipótese de prorrogação de vigência, o saldo de recursos será automaticamente mantido na conta a fim de viabilizar a continuidade da execução do objeto.</w:t>
      </w:r>
    </w:p>
    <w:p w14:paraId="01A3CD4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0407046D"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1C4175BA"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8.6 Nas hipóteses de alterações em que não seja necessário termo aditivo, poderá ser realizado apostilamento.</w:t>
      </w:r>
    </w:p>
    <w:p w14:paraId="164E26C3"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9. TITULARIDADE DE BENS</w:t>
      </w:r>
    </w:p>
    <w:p w14:paraId="4F31C9C0"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9.1 Os bens permanentes adquiridos, produzidos ou transformados em decorrência da execução da ação cultural fomentada serão de titularidade do agente cultural desde a data da sua aquisição.</w:t>
      </w:r>
    </w:p>
    <w:p w14:paraId="4415AC75"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9.1.1 A titularidade do bem, definida no item 9.1 dar-se-á nas seguintes hipóteses (Art. 16 da Lei nº 14.903/2024): </w:t>
      </w:r>
    </w:p>
    <w:p w14:paraId="0E85D8F4"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A ação cultural tiver como finalidade viabilizar a constituição de acervo, fortalecer a transmissão de saberes e práticas culturais, fornecer mobiliário, viabilizar aquisição de equipamentos, viabilizar modernização, reforma ou construção de espaços culturais, prover recursos tecnológicos para agentes culturais ou prover recursos para garantir acessibilidade ou objetivo similar; </w:t>
      </w:r>
    </w:p>
    <w:p w14:paraId="3FE0B0F4"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 - A análise técnica da administração pública indicar que a aquisição de bens com titularidade do agente cultural seja a melhor forma de promover o fomento cultural no caso concreto.</w:t>
      </w:r>
    </w:p>
    <w:p w14:paraId="29F14FD7"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9.2 Nos casos de rejeição da prestação de contas em razão da aquisição ou do uso do bem, o valor pago pela aquisição será computado no cálculo de valores a devolver, com atualização monetária.</w:t>
      </w:r>
    </w:p>
    <w:p w14:paraId="2990C4B9" w14:textId="77777777" w:rsidR="003466F5" w:rsidRDefault="003466F5">
      <w:pPr>
        <w:spacing w:after="100"/>
        <w:ind w:left="100"/>
        <w:jc w:val="both"/>
        <w:rPr>
          <w:rFonts w:ascii="Calibri" w:eastAsia="Calibri" w:hAnsi="Calibri" w:cs="Calibri"/>
          <w:color w:val="FF0000"/>
          <w:sz w:val="24"/>
          <w:szCs w:val="24"/>
        </w:rPr>
      </w:pPr>
    </w:p>
    <w:p w14:paraId="31D7A9FA"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10. EXTINÇÃO DO TERMO DE EXECUÇÃO CULTURAL</w:t>
      </w:r>
    </w:p>
    <w:p w14:paraId="39A09B3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10.1 O presente Termo de Execução Cultural poderá ser:</w:t>
      </w:r>
    </w:p>
    <w:p w14:paraId="616F33B7"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 - </w:t>
      </w:r>
      <w:proofErr w:type="gramStart"/>
      <w:r>
        <w:rPr>
          <w:rFonts w:ascii="Calibri" w:eastAsia="Calibri" w:hAnsi="Calibri" w:cs="Calibri"/>
          <w:sz w:val="24"/>
          <w:szCs w:val="24"/>
        </w:rPr>
        <w:t>extinto</w:t>
      </w:r>
      <w:proofErr w:type="gramEnd"/>
      <w:r>
        <w:rPr>
          <w:rFonts w:ascii="Calibri" w:eastAsia="Calibri" w:hAnsi="Calibri" w:cs="Calibri"/>
          <w:sz w:val="24"/>
          <w:szCs w:val="24"/>
        </w:rPr>
        <w:t xml:space="preserve"> por decurso de prazo;</w:t>
      </w:r>
    </w:p>
    <w:p w14:paraId="021FF02A"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II - </w:t>
      </w:r>
      <w:proofErr w:type="gramStart"/>
      <w:r>
        <w:rPr>
          <w:rFonts w:ascii="Calibri" w:eastAsia="Calibri" w:hAnsi="Calibri" w:cs="Calibri"/>
          <w:sz w:val="24"/>
          <w:szCs w:val="24"/>
        </w:rPr>
        <w:t>extinto</w:t>
      </w:r>
      <w:proofErr w:type="gramEnd"/>
      <w:r>
        <w:rPr>
          <w:rFonts w:ascii="Calibri" w:eastAsia="Calibri" w:hAnsi="Calibri" w:cs="Calibri"/>
          <w:sz w:val="24"/>
          <w:szCs w:val="24"/>
        </w:rPr>
        <w:t>, de comum acordo antes do prazo avençado, mediante Termo de Distrato;</w:t>
      </w:r>
    </w:p>
    <w:p w14:paraId="1E4D3854"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III - denunciado, por decisão unilateral de qualquer dos partícipes, independentemente de autorização judicial, mediante prévia notificação por escrito ao outro partícipe; ou</w:t>
      </w:r>
    </w:p>
    <w:p w14:paraId="1376A36C"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IV - </w:t>
      </w:r>
      <w:proofErr w:type="gramStart"/>
      <w:r>
        <w:rPr>
          <w:rFonts w:ascii="Calibri" w:eastAsia="Calibri" w:hAnsi="Calibri" w:cs="Calibri"/>
          <w:sz w:val="24"/>
          <w:szCs w:val="24"/>
        </w:rPr>
        <w:t>rescindido</w:t>
      </w:r>
      <w:proofErr w:type="gramEnd"/>
      <w:r>
        <w:rPr>
          <w:rFonts w:ascii="Calibri" w:eastAsia="Calibri" w:hAnsi="Calibri" w:cs="Calibri"/>
          <w:sz w:val="24"/>
          <w:szCs w:val="24"/>
        </w:rPr>
        <w:t>, por decisão unilateral de qualquer dos partícipes, independentemente de autorização judicial, mediante prévia notificação por escrito ao outro partícipe, nas seguintes hipóteses:</w:t>
      </w:r>
    </w:p>
    <w:p w14:paraId="4968137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a) descumprimento injustificado de cláusula deste instrumento;</w:t>
      </w:r>
    </w:p>
    <w:p w14:paraId="38C0978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b) irregularidade ou inexecução injustificada, ainda que parcial, do objeto, resultados ou metas pactuadas;</w:t>
      </w:r>
    </w:p>
    <w:p w14:paraId="4F81C5D9"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c) violação da legislação aplicável;</w:t>
      </w:r>
    </w:p>
    <w:p w14:paraId="408FEB53"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d) cometimento de falhas reiteradas na execução;</w:t>
      </w:r>
    </w:p>
    <w:p w14:paraId="6C43B2A8"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e) má administração de recursos públicos;</w:t>
      </w:r>
    </w:p>
    <w:p w14:paraId="7C29B942"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f) constatação de falsidade ou fraude nas informações ou documentos apresentados;</w:t>
      </w:r>
    </w:p>
    <w:p w14:paraId="67B51E46"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g) não atendimento às recomendações ou determinações decorrentes da fiscalização;</w:t>
      </w:r>
    </w:p>
    <w:p w14:paraId="2A5742AA"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lastRenderedPageBreak/>
        <w:t>h) outras hipóteses expressamente previstas na legislação aplicável.</w:t>
      </w:r>
    </w:p>
    <w:p w14:paraId="70A5486D"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0FD8612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10.3 Na hipótese de irregularidade na execução do objeto que enseje danos ao erário, deverá ser instaurada Tomada de Contas Especial caso os valores relacionados à irregularidade não sejam devolvidos no prazo estabelecido pela Administração Pública.</w:t>
      </w:r>
    </w:p>
    <w:p w14:paraId="7B14E49E"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6B938977" w14:textId="77777777" w:rsidR="003466F5" w:rsidRDefault="003466F5">
      <w:pPr>
        <w:spacing w:after="100"/>
        <w:ind w:left="100"/>
        <w:jc w:val="both"/>
        <w:rPr>
          <w:rFonts w:ascii="Calibri" w:eastAsia="Calibri" w:hAnsi="Calibri" w:cs="Calibri"/>
          <w:sz w:val="24"/>
          <w:szCs w:val="24"/>
        </w:rPr>
      </w:pPr>
    </w:p>
    <w:p w14:paraId="160D950A"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11. MONITORAMENTO E CONTROLE DE RESULTADOS </w:t>
      </w:r>
    </w:p>
    <w:p w14:paraId="221B6F62"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color w:val="000000"/>
          <w:sz w:val="24"/>
          <w:szCs w:val="24"/>
        </w:rPr>
        <w:t xml:space="preserve">11.1 A Secretaria de Educação, Cultura, Desporto e Turismo de Bom Princípio será a responsável por acompanhar e orientar o agente cultural durante a execução do projeto contemplado. </w:t>
      </w:r>
    </w:p>
    <w:p w14:paraId="118CD8C6"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12. VIGÊNCIA </w:t>
      </w:r>
    </w:p>
    <w:p w14:paraId="6364D30F"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 xml:space="preserve">12.1 A vigência deste instrumento terá início na data de assinatura das partes, com duração de 12 (doze) meses podendo ser prorrogado por, no máximo, 60 (sessenta) dias. </w:t>
      </w:r>
    </w:p>
    <w:p w14:paraId="2E01C9F5"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13. PUBLICAÇÃO </w:t>
      </w:r>
    </w:p>
    <w:p w14:paraId="15AD77E0" w14:textId="77777777" w:rsidR="003466F5" w:rsidRDefault="00000000">
      <w:pPr>
        <w:spacing w:after="100"/>
        <w:ind w:left="100"/>
        <w:jc w:val="both"/>
        <w:rPr>
          <w:rFonts w:ascii="Aptos" w:eastAsia="Aptos" w:hAnsi="Aptos" w:cs="Aptos"/>
          <w:color w:val="1155CC"/>
          <w:sz w:val="24"/>
          <w:szCs w:val="24"/>
        </w:rPr>
      </w:pPr>
      <w:r>
        <w:rPr>
          <w:rFonts w:ascii="Calibri" w:eastAsia="Calibri" w:hAnsi="Calibri" w:cs="Calibri"/>
          <w:sz w:val="24"/>
          <w:szCs w:val="24"/>
        </w:rPr>
        <w:t xml:space="preserve">13.1 O Extrato do Termo de Execução Cultural será publicado no Site Oficial do Município, no link </w:t>
      </w:r>
      <w:hyperlink r:id="rId8">
        <w:r>
          <w:rPr>
            <w:rFonts w:ascii="Aptos" w:eastAsia="Aptos" w:hAnsi="Aptos" w:cs="Aptos"/>
            <w:color w:val="1155CC"/>
            <w:sz w:val="24"/>
            <w:szCs w:val="24"/>
            <w:u w:val="single"/>
          </w:rPr>
          <w:t>https://www.bomprincipio.rs.gov.br/contratacao/index?ContratacaoSearch%5Bid_contratacao_categoria%5D=29&amp;ContratacaoSearch%5Bano%5D=&amp;ContratacaoSearch%5Bq%5D=</w:t>
        </w:r>
      </w:hyperlink>
      <w:r>
        <w:rPr>
          <w:rFonts w:ascii="Aptos" w:eastAsia="Aptos" w:hAnsi="Aptos" w:cs="Aptos"/>
          <w:color w:val="1155CC"/>
          <w:sz w:val="24"/>
          <w:szCs w:val="24"/>
        </w:rPr>
        <w:t>.</w:t>
      </w:r>
    </w:p>
    <w:p w14:paraId="3ADC84DF" w14:textId="77777777" w:rsidR="003466F5" w:rsidRDefault="00000000">
      <w:pPr>
        <w:spacing w:after="100"/>
        <w:ind w:left="100"/>
        <w:jc w:val="both"/>
        <w:rPr>
          <w:rFonts w:ascii="Aptos" w:eastAsia="Aptos" w:hAnsi="Aptos" w:cs="Aptos"/>
          <w:color w:val="1155CC"/>
          <w:sz w:val="24"/>
          <w:szCs w:val="24"/>
        </w:rPr>
      </w:pPr>
      <w:r>
        <w:rPr>
          <w:rFonts w:ascii="Calibri" w:eastAsia="Calibri" w:hAnsi="Calibri" w:cs="Calibri"/>
          <w:sz w:val="24"/>
          <w:szCs w:val="24"/>
        </w:rPr>
        <w:t xml:space="preserve">E, alternativamente, no Diário Oficial dos Municípios - FAMURS, no link </w:t>
      </w:r>
      <w:hyperlink r:id="rId9">
        <w:r>
          <w:rPr>
            <w:rFonts w:ascii="Calibri" w:eastAsia="Calibri" w:hAnsi="Calibri" w:cs="Calibri"/>
            <w:color w:val="0000FF"/>
            <w:sz w:val="24"/>
            <w:szCs w:val="24"/>
            <w:u w:val="single"/>
          </w:rPr>
          <w:t>https://www.diariomunicipal.com.br/</w:t>
        </w:r>
      </w:hyperlink>
    </w:p>
    <w:p w14:paraId="38E23734" w14:textId="77777777" w:rsidR="003466F5" w:rsidRDefault="003466F5">
      <w:pPr>
        <w:spacing w:after="100"/>
        <w:ind w:left="100"/>
        <w:jc w:val="both"/>
        <w:rPr>
          <w:rFonts w:ascii="Calibri" w:eastAsia="Calibri" w:hAnsi="Calibri" w:cs="Calibri"/>
          <w:sz w:val="24"/>
          <w:szCs w:val="24"/>
        </w:rPr>
      </w:pPr>
    </w:p>
    <w:p w14:paraId="596C97B6" w14:textId="77777777" w:rsidR="003466F5" w:rsidRDefault="00000000">
      <w:pPr>
        <w:spacing w:after="100"/>
        <w:ind w:left="100"/>
        <w:jc w:val="both"/>
        <w:rPr>
          <w:rFonts w:ascii="Calibri" w:eastAsia="Calibri" w:hAnsi="Calibri" w:cs="Calibri"/>
          <w:b/>
          <w:bCs/>
          <w:sz w:val="24"/>
          <w:szCs w:val="24"/>
        </w:rPr>
      </w:pPr>
      <w:r>
        <w:rPr>
          <w:rFonts w:ascii="Calibri" w:eastAsia="Calibri" w:hAnsi="Calibri" w:cs="Calibri"/>
          <w:b/>
          <w:bCs/>
          <w:sz w:val="24"/>
          <w:szCs w:val="24"/>
        </w:rPr>
        <w:t xml:space="preserve">14. FORO </w:t>
      </w:r>
    </w:p>
    <w:p w14:paraId="36050872" w14:textId="77777777" w:rsidR="003466F5" w:rsidRDefault="00000000">
      <w:pPr>
        <w:spacing w:after="100"/>
        <w:ind w:left="100"/>
        <w:jc w:val="both"/>
        <w:rPr>
          <w:rFonts w:ascii="Calibri" w:eastAsia="Calibri" w:hAnsi="Calibri" w:cs="Calibri"/>
          <w:sz w:val="24"/>
          <w:szCs w:val="24"/>
        </w:rPr>
      </w:pPr>
      <w:r>
        <w:rPr>
          <w:rFonts w:ascii="Calibri" w:eastAsia="Calibri" w:hAnsi="Calibri" w:cs="Calibri"/>
          <w:sz w:val="24"/>
          <w:szCs w:val="24"/>
        </w:rPr>
        <w:t>14.1 Fica eleito o Foro da Comarca de São Sebastião do Caí, para dirimir quaisquer dúvidas relativas ao presente Termo de Execução Cultural.</w:t>
      </w:r>
    </w:p>
    <w:p w14:paraId="7A21C365"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t>Bom Princípio/RS, ......... de ................ de 2026</w:t>
      </w:r>
    </w:p>
    <w:p w14:paraId="7C51EC8E"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t>Pelo órgão:</w:t>
      </w:r>
    </w:p>
    <w:p w14:paraId="6DECEEF5" w14:textId="77777777" w:rsidR="003466F5" w:rsidRDefault="003466F5">
      <w:pPr>
        <w:jc w:val="center"/>
        <w:rPr>
          <w:rFonts w:ascii="Calibri" w:eastAsia="Calibri" w:hAnsi="Calibri" w:cs="Calibri"/>
          <w:sz w:val="24"/>
          <w:szCs w:val="24"/>
        </w:rPr>
      </w:pPr>
    </w:p>
    <w:p w14:paraId="35981215"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t>___________________________________</w:t>
      </w:r>
    </w:p>
    <w:p w14:paraId="25FA8AD2"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lastRenderedPageBreak/>
        <w:t xml:space="preserve">Vasco Alexandre </w:t>
      </w:r>
      <w:proofErr w:type="gramStart"/>
      <w:r>
        <w:rPr>
          <w:rFonts w:ascii="Calibri" w:eastAsia="Calibri" w:hAnsi="Calibri" w:cs="Calibri"/>
          <w:sz w:val="24"/>
          <w:szCs w:val="24"/>
        </w:rPr>
        <w:t>Brandt  –</w:t>
      </w:r>
      <w:proofErr w:type="gramEnd"/>
      <w:r>
        <w:rPr>
          <w:rFonts w:ascii="Calibri" w:eastAsia="Calibri" w:hAnsi="Calibri" w:cs="Calibri"/>
          <w:sz w:val="24"/>
          <w:szCs w:val="24"/>
        </w:rPr>
        <w:t xml:space="preserve"> Prefeito</w:t>
      </w:r>
    </w:p>
    <w:p w14:paraId="17AC4FF1" w14:textId="77777777" w:rsidR="003466F5" w:rsidRDefault="003466F5">
      <w:pPr>
        <w:jc w:val="center"/>
        <w:rPr>
          <w:rFonts w:ascii="Calibri" w:eastAsia="Calibri" w:hAnsi="Calibri" w:cs="Calibri"/>
          <w:sz w:val="24"/>
          <w:szCs w:val="24"/>
        </w:rPr>
      </w:pPr>
    </w:p>
    <w:p w14:paraId="48838620" w14:textId="77777777" w:rsidR="003466F5" w:rsidRDefault="003466F5">
      <w:pPr>
        <w:jc w:val="center"/>
        <w:rPr>
          <w:rFonts w:ascii="Calibri" w:eastAsia="Calibri" w:hAnsi="Calibri" w:cs="Calibri"/>
          <w:sz w:val="24"/>
          <w:szCs w:val="24"/>
        </w:rPr>
      </w:pPr>
    </w:p>
    <w:p w14:paraId="78BD4E97"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t>___________________________________</w:t>
      </w:r>
    </w:p>
    <w:p w14:paraId="117CF650"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t xml:space="preserve">Marcia Regina </w:t>
      </w:r>
      <w:proofErr w:type="spellStart"/>
      <w:r>
        <w:rPr>
          <w:rFonts w:ascii="Calibri" w:eastAsia="Calibri" w:hAnsi="Calibri" w:cs="Calibri"/>
          <w:sz w:val="24"/>
          <w:szCs w:val="24"/>
        </w:rPr>
        <w:t>Zamberlan</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Rhoden</w:t>
      </w:r>
      <w:proofErr w:type="spellEnd"/>
      <w:r>
        <w:rPr>
          <w:rFonts w:ascii="Calibri" w:eastAsia="Calibri" w:hAnsi="Calibri" w:cs="Calibri"/>
          <w:sz w:val="24"/>
          <w:szCs w:val="24"/>
        </w:rPr>
        <w:t xml:space="preserve"> – Secretária</w:t>
      </w:r>
    </w:p>
    <w:p w14:paraId="02020D7E" w14:textId="77777777" w:rsidR="003466F5" w:rsidRDefault="003466F5">
      <w:pPr>
        <w:jc w:val="center"/>
        <w:rPr>
          <w:rFonts w:ascii="Calibri" w:eastAsia="Calibri" w:hAnsi="Calibri" w:cs="Calibri"/>
          <w:sz w:val="24"/>
          <w:szCs w:val="24"/>
        </w:rPr>
      </w:pPr>
    </w:p>
    <w:p w14:paraId="23CC579E"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t>Pelo Agente Cultural:</w:t>
      </w:r>
    </w:p>
    <w:p w14:paraId="714A0EC1" w14:textId="77777777" w:rsidR="003466F5" w:rsidRDefault="003466F5">
      <w:pPr>
        <w:jc w:val="center"/>
        <w:rPr>
          <w:rFonts w:ascii="Calibri" w:eastAsia="Calibri" w:hAnsi="Calibri" w:cs="Calibri"/>
          <w:sz w:val="24"/>
          <w:szCs w:val="24"/>
        </w:rPr>
      </w:pPr>
    </w:p>
    <w:p w14:paraId="41250876" w14:textId="77777777" w:rsidR="003466F5" w:rsidRDefault="003466F5">
      <w:pPr>
        <w:jc w:val="center"/>
        <w:rPr>
          <w:rFonts w:ascii="Calibri" w:eastAsia="Calibri" w:hAnsi="Calibri" w:cs="Calibri"/>
          <w:sz w:val="24"/>
          <w:szCs w:val="24"/>
        </w:rPr>
      </w:pPr>
    </w:p>
    <w:p w14:paraId="44C26491" w14:textId="77777777" w:rsidR="003466F5" w:rsidRDefault="00000000">
      <w:pPr>
        <w:jc w:val="center"/>
        <w:rPr>
          <w:rFonts w:ascii="Calibri" w:eastAsia="Calibri" w:hAnsi="Calibri" w:cs="Calibri"/>
          <w:sz w:val="24"/>
          <w:szCs w:val="24"/>
        </w:rPr>
      </w:pPr>
      <w:r>
        <w:rPr>
          <w:rFonts w:ascii="Calibri" w:eastAsia="Calibri" w:hAnsi="Calibri" w:cs="Calibri"/>
          <w:sz w:val="24"/>
          <w:szCs w:val="24"/>
        </w:rPr>
        <w:t>___________________________________</w:t>
      </w:r>
    </w:p>
    <w:p w14:paraId="7098F660" w14:textId="77777777" w:rsidR="003466F5" w:rsidRDefault="00000000">
      <w:pPr>
        <w:jc w:val="center"/>
      </w:pPr>
      <w:r>
        <w:rPr>
          <w:rFonts w:ascii="Calibri" w:eastAsia="Calibri" w:hAnsi="Calibri" w:cs="Calibri"/>
          <w:sz w:val="24"/>
          <w:szCs w:val="24"/>
        </w:rPr>
        <w:t>Nome:</w:t>
      </w:r>
    </w:p>
    <w:p w14:paraId="3730A9B3" w14:textId="77777777" w:rsidR="003466F5" w:rsidRDefault="003466F5"/>
    <w:sectPr w:rsidR="003466F5">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162EE" w14:textId="77777777" w:rsidR="00AD0187" w:rsidRDefault="00AD0187">
      <w:pPr>
        <w:spacing w:line="240" w:lineRule="auto"/>
      </w:pPr>
      <w:r>
        <w:separator/>
      </w:r>
    </w:p>
  </w:endnote>
  <w:endnote w:type="continuationSeparator" w:id="0">
    <w:p w14:paraId="5EFA3108" w14:textId="77777777" w:rsidR="00AD0187" w:rsidRDefault="00AD01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Play">
    <w:charset w:val="00"/>
    <w:family w:val="auto"/>
    <w:pitch w:val="default"/>
    <w:embedRegular r:id="rId1" w:fontKey="{5EDBEDEB-5FE2-43AC-898D-A9F7FD192998}"/>
  </w:font>
  <w:font w:name="Aptos">
    <w:charset w:val="00"/>
    <w:family w:val="swiss"/>
    <w:pitch w:val="variable"/>
    <w:sig w:usb0="20000287" w:usb1="00000003" w:usb2="00000000" w:usb3="00000000" w:csb0="0000019F" w:csb1="00000000"/>
    <w:embedRegular r:id="rId2" w:fontKey="{277FB980-0F4C-4DC5-B9B2-C47F16DED16F}"/>
    <w:embedItalic r:id="rId3" w:fontKey="{C1FD1E25-6D4B-4CEC-B41A-99399444BB83}"/>
  </w:font>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E41246F4-E2D0-4BA2-B5BF-0B1C65B1B761}"/>
    <w:embedBold r:id="rId5" w:fontKey="{31C01187-DF4C-48E7-B834-116C26537117}"/>
    <w:embedItalic r:id="rId6" w:fontKey="{EF68B87A-5336-43E9-9C40-3EF565984A1A}"/>
  </w:font>
  <w:font w:name="Cambria">
    <w:panose1 w:val="02040503050406030204"/>
    <w:charset w:val="00"/>
    <w:family w:val="roman"/>
    <w:pitch w:val="variable"/>
    <w:sig w:usb0="E00006FF" w:usb1="420024FF" w:usb2="02000000" w:usb3="00000000" w:csb0="0000019F" w:csb1="00000000"/>
    <w:embedRegular r:id="rId7" w:fontKey="{29EAE5EF-DF6C-477D-8C3F-1A91860C9D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A95D" w14:textId="77777777" w:rsidR="003466F5" w:rsidRDefault="003466F5">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186EA" w14:textId="77777777" w:rsidR="003466F5" w:rsidRDefault="00000000">
    <w:pPr>
      <w:pBdr>
        <w:top w:val="nil"/>
        <w:left w:val="nil"/>
        <w:bottom w:val="nil"/>
        <w:right w:val="nil"/>
        <w:between w:val="nil"/>
      </w:pBdr>
      <w:tabs>
        <w:tab w:val="center" w:pos="4252"/>
        <w:tab w:val="right" w:pos="8504"/>
      </w:tabs>
      <w:spacing w:line="240" w:lineRule="auto"/>
      <w:jc w:val="center"/>
      <w:rPr>
        <w:rFonts w:ascii="Aptos" w:eastAsia="Aptos" w:hAnsi="Aptos" w:cs="Aptos"/>
        <w:color w:val="000000"/>
        <w:sz w:val="24"/>
        <w:szCs w:val="24"/>
      </w:rPr>
    </w:pPr>
    <w:bookmarkStart w:id="0" w:name="_heading=h.1lozv1ng18e5" w:colFirst="0" w:colLast="0"/>
    <w:bookmarkEnd w:id="0"/>
    <w:r>
      <w:rPr>
        <w:rFonts w:ascii="Aptos" w:eastAsia="Aptos" w:hAnsi="Aptos" w:cs="Aptos"/>
        <w:noProof/>
        <w:sz w:val="24"/>
        <w:szCs w:val="24"/>
      </w:rPr>
      <w:drawing>
        <wp:inline distT="114300" distB="114300" distL="114300" distR="114300" wp14:anchorId="75E481B2" wp14:editId="5A50866B">
          <wp:extent cx="5399730" cy="6477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99730" cy="647700"/>
                  </a:xfrm>
                  <a:prstGeom prst="rect">
                    <a:avLst/>
                  </a:prstGeom>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9CFC" w14:textId="77777777" w:rsidR="003466F5" w:rsidRDefault="003466F5">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8F8EE" w14:textId="77777777" w:rsidR="00AD0187" w:rsidRDefault="00AD0187">
      <w:pPr>
        <w:spacing w:line="240" w:lineRule="auto"/>
      </w:pPr>
      <w:r>
        <w:separator/>
      </w:r>
    </w:p>
  </w:footnote>
  <w:footnote w:type="continuationSeparator" w:id="0">
    <w:p w14:paraId="4981F93E" w14:textId="77777777" w:rsidR="00AD0187" w:rsidRDefault="00AD01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A7B5D" w14:textId="77777777" w:rsidR="003466F5" w:rsidRDefault="003466F5">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4C21E" w14:textId="77777777" w:rsidR="003466F5" w:rsidRDefault="00000000">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r>
      <w:rPr>
        <w:rFonts w:ascii="Aptos" w:eastAsia="Aptos" w:hAnsi="Aptos" w:cs="Aptos"/>
        <w:noProof/>
        <w:sz w:val="24"/>
        <w:szCs w:val="24"/>
      </w:rPr>
      <w:drawing>
        <wp:inline distT="114300" distB="114300" distL="114300" distR="114300" wp14:anchorId="220E7713" wp14:editId="1FFADC5C">
          <wp:extent cx="1953578" cy="58153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53578" cy="58153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63A88" w14:textId="77777777" w:rsidR="003466F5" w:rsidRDefault="003466F5">
    <w:pPr>
      <w:pBdr>
        <w:top w:val="nil"/>
        <w:left w:val="nil"/>
        <w:bottom w:val="nil"/>
        <w:right w:val="nil"/>
        <w:between w:val="nil"/>
      </w:pBdr>
      <w:tabs>
        <w:tab w:val="center" w:pos="4252"/>
        <w:tab w:val="right" w:pos="8504"/>
      </w:tabs>
      <w:spacing w:line="240" w:lineRule="auto"/>
      <w:rPr>
        <w:rFonts w:ascii="Aptos" w:eastAsia="Aptos" w:hAnsi="Aptos" w:cs="Aptos"/>
        <w:color w:val="000000"/>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6F5"/>
    <w:rsid w:val="003466F5"/>
    <w:rsid w:val="005D260E"/>
    <w:rsid w:val="00AD0187"/>
    <w:rsid w:val="00B333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F7134"/>
  <w15:docId w15:val="{BCB5076E-E8A7-417E-BE36-B06420900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Ttulo4">
    <w:name w:val="heading 4"/>
    <w:basedOn w:val="Normal"/>
    <w:next w:val="Normal"/>
    <w:uiPriority w:val="9"/>
    <w:semiHidden/>
    <w:unhideWhenUsed/>
    <w:qFormat/>
    <w:pPr>
      <w:keepNext/>
      <w:keepLines/>
      <w:spacing w:before="80" w:after="40" w:line="278" w:lineRule="auto"/>
      <w:outlineLvl w:val="3"/>
    </w:pPr>
    <w:rPr>
      <w:rFonts w:ascii="Aptos" w:eastAsia="Aptos" w:hAnsi="Aptos" w:cs="Aptos"/>
      <w:i/>
      <w:iCs/>
      <w:color w:val="0F4761"/>
      <w:sz w:val="24"/>
      <w:szCs w:val="24"/>
    </w:rPr>
  </w:style>
  <w:style w:type="paragraph" w:styleId="Ttulo5">
    <w:name w:val="heading 5"/>
    <w:basedOn w:val="Normal"/>
    <w:next w:val="Normal"/>
    <w:uiPriority w:val="9"/>
    <w:semiHidden/>
    <w:unhideWhenUsed/>
    <w:qFormat/>
    <w:pPr>
      <w:keepNext/>
      <w:keepLines/>
      <w:spacing w:before="80" w:after="40" w:line="278" w:lineRule="auto"/>
      <w:outlineLvl w:val="4"/>
    </w:pPr>
    <w:rPr>
      <w:rFonts w:ascii="Aptos" w:eastAsia="Aptos" w:hAnsi="Aptos" w:cs="Aptos"/>
      <w:color w:val="0F4761"/>
      <w:sz w:val="24"/>
      <w:szCs w:val="24"/>
    </w:rPr>
  </w:style>
  <w:style w:type="paragraph" w:styleId="Ttulo6">
    <w:name w:val="heading 6"/>
    <w:basedOn w:val="Normal"/>
    <w:next w:val="Normal"/>
    <w:uiPriority w:val="9"/>
    <w:semiHidden/>
    <w:unhideWhenUsed/>
    <w:qFormat/>
    <w:pPr>
      <w:keepNext/>
      <w:keepLines/>
      <w:spacing w:before="40" w:line="278" w:lineRule="auto"/>
      <w:outlineLvl w:val="5"/>
    </w:pPr>
    <w:rPr>
      <w:rFonts w:ascii="Aptos" w:eastAsia="Aptos" w:hAnsi="Aptos" w:cs="Aptos"/>
      <w:i/>
      <w:iCs/>
      <w:color w:val="595959"/>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pPr>
      <w:spacing w:after="160" w:line="278" w:lineRule="auto"/>
    </w:pPr>
    <w:rPr>
      <w:rFonts w:ascii="Aptos" w:eastAsia="Aptos" w:hAnsi="Aptos" w:cs="Aptos"/>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bomprincipio.rs.gov.br/contratacao/index?ContratacaoSearch%5Bid_contratacao_categoria%5D=29&amp;ContratacaoSearch%5Bano%5D=&amp;ContratacaoSearch%5Bq%5D="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iariomunicipal.com.br/famurs/"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FgTC5xbahWuxyKwiC/zdNEPY4Q==">CgMxLjAyDmguMWxvenYxbmcxOGU1OAByITFHU2RNWTlneFFPQ1VYOXFiV2pqd0hlOGNHZmY5NENHQQ==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2147</Words>
  <Characters>12338</Characters>
  <Application>Microsoft Office Word</Application>
  <DocSecurity>0</DocSecurity>
  <Lines>248</Lines>
  <Paragraphs>115</Paragraphs>
  <ScaleCrop>false</ScaleCrop>
  <Company/>
  <LinksUpToDate>false</LinksUpToDate>
  <CharactersWithSpaces>14406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ANA LÚCIA SILVA</cp:lastModifiedBy>
  <cp:revision>2</cp:revision>
  <dcterms:created xsi:type="dcterms:W3CDTF">2026-07-13T17:26:00Z</dcterms:created>
  <dcterms:modified xsi:type="dcterms:W3CDTF">2026-07-13T17:26:00Z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